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F4B41" w14:textId="722DC909" w:rsidR="0098529E" w:rsidRPr="00AA6391" w:rsidRDefault="00000000" w:rsidP="009F41B3">
      <w:pPr>
        <w:pStyle w:val="Header"/>
        <w:rPr>
          <w:rFonts w:asciiTheme="minorHAnsi" w:hAnsiTheme="minorHAnsi" w:cstheme="minorHAnsi"/>
          <w:lang w:val="en-US" w:eastAsia="zh-CN"/>
        </w:rPr>
      </w:pPr>
      <w:r w:rsidRPr="00AA6391">
        <w:rPr>
          <w:rFonts w:asciiTheme="minorHAnsi" w:hAnsiTheme="minorHAnsi" w:cstheme="minorHAnsi"/>
        </w:rPr>
        <w:t xml:space="preserve">Input paper: </w:t>
      </w:r>
      <w:r w:rsidRPr="00AA6391">
        <w:rPr>
          <w:rStyle w:val="FootnoteReference"/>
          <w:rFonts w:asciiTheme="minorHAnsi" w:hAnsiTheme="minorHAnsi" w:cstheme="minorHAnsi"/>
          <w:sz w:val="22"/>
          <w:vertAlign w:val="superscript"/>
        </w:rPr>
        <w:footnoteReference w:id="1"/>
      </w:r>
      <w:r w:rsidRPr="00AA6391">
        <w:rPr>
          <w:rFonts w:asciiTheme="minorHAnsi" w:hAnsiTheme="minorHAnsi" w:cstheme="minorHAnsi"/>
        </w:rPr>
        <w:t xml:space="preserve"> VTS</w:t>
      </w:r>
      <w:r w:rsidR="003729CB" w:rsidRPr="00AA6391">
        <w:rPr>
          <w:rFonts w:asciiTheme="minorHAnsi" w:hAnsiTheme="minorHAnsi" w:cstheme="minorHAnsi"/>
          <w:lang w:eastAsia="zh-CN"/>
        </w:rPr>
        <w:t>5</w:t>
      </w:r>
      <w:r w:rsidRPr="00AA6391">
        <w:rPr>
          <w:rFonts w:asciiTheme="minorHAnsi" w:hAnsiTheme="minorHAnsi" w:cstheme="minorHAnsi"/>
          <w:lang w:eastAsia="zh-CN"/>
        </w:rPr>
        <w:t>8</w:t>
      </w:r>
      <w:r w:rsidRPr="00AA6391">
        <w:rPr>
          <w:rFonts w:asciiTheme="minorHAnsi" w:hAnsiTheme="minorHAnsi" w:cstheme="minorHAnsi"/>
        </w:rPr>
        <w:t>-</w:t>
      </w:r>
      <w:r w:rsidR="00AA6391" w:rsidRPr="00AA6391">
        <w:rPr>
          <w:rFonts w:asciiTheme="minorHAnsi" w:hAnsiTheme="minorHAnsi" w:cstheme="minorHAnsi"/>
          <w:lang w:val="en-US" w:eastAsia="zh-CN"/>
        </w:rPr>
        <w:t>8.7.1</w:t>
      </w:r>
    </w:p>
    <w:p w14:paraId="0C4F4B42" w14:textId="77777777" w:rsidR="0098529E" w:rsidRPr="00AA6391" w:rsidRDefault="0098529E">
      <w:pPr>
        <w:pStyle w:val="BodyText"/>
        <w:tabs>
          <w:tab w:val="left" w:pos="2835"/>
        </w:tabs>
        <w:rPr>
          <w:rFonts w:asciiTheme="minorHAnsi" w:hAnsiTheme="minorHAnsi" w:cstheme="minorHAnsi"/>
          <w:lang w:val="en-US"/>
        </w:rPr>
      </w:pPr>
    </w:p>
    <w:p w14:paraId="0C4F4B43" w14:textId="77777777" w:rsidR="0098529E" w:rsidRPr="00AA6391" w:rsidRDefault="00000000">
      <w:pPr>
        <w:pStyle w:val="BodyText"/>
        <w:tabs>
          <w:tab w:val="left" w:pos="2835"/>
        </w:tabs>
        <w:rPr>
          <w:rFonts w:asciiTheme="minorHAnsi" w:hAnsiTheme="minorHAnsi" w:cstheme="minorHAnsi"/>
        </w:rPr>
      </w:pPr>
      <w:r w:rsidRPr="00AA6391">
        <w:rPr>
          <w:rFonts w:asciiTheme="minorHAnsi" w:hAnsiTheme="minorHAnsi" w:cstheme="minorHAnsi"/>
        </w:rPr>
        <w:t xml:space="preserve">Input paper for the following Committee(s):      </w:t>
      </w:r>
      <w:r w:rsidRPr="00AA6391">
        <w:rPr>
          <w:rFonts w:asciiTheme="minorHAnsi" w:hAnsiTheme="minorHAnsi" w:cstheme="minorHAnsi"/>
          <w:sz w:val="18"/>
          <w:szCs w:val="18"/>
        </w:rPr>
        <w:t>check as appropriate</w:t>
      </w:r>
      <w:r w:rsidRPr="00AA6391">
        <w:rPr>
          <w:rFonts w:asciiTheme="minorHAnsi" w:hAnsiTheme="minorHAnsi" w:cstheme="minorHAnsi"/>
          <w:sz w:val="18"/>
          <w:szCs w:val="18"/>
        </w:rPr>
        <w:tab/>
      </w:r>
      <w:r w:rsidRPr="00AA6391">
        <w:rPr>
          <w:rFonts w:asciiTheme="minorHAnsi" w:hAnsiTheme="minorHAnsi" w:cstheme="minorHAnsi"/>
        </w:rPr>
        <w:tab/>
        <w:t>Purpose of paper:</w:t>
      </w:r>
    </w:p>
    <w:p w14:paraId="0C4F4B44" w14:textId="77777777" w:rsidR="0098529E" w:rsidRPr="00AA6391" w:rsidRDefault="00000000">
      <w:pPr>
        <w:pStyle w:val="BodyText"/>
        <w:tabs>
          <w:tab w:val="left" w:pos="1843"/>
        </w:tabs>
        <w:rPr>
          <w:rFonts w:asciiTheme="minorHAnsi" w:hAnsiTheme="minorHAnsi" w:cstheme="minorHAnsi"/>
          <w:b/>
          <w:sz w:val="24"/>
          <w:szCs w:val="24"/>
        </w:rPr>
      </w:pPr>
      <w:r w:rsidRPr="00AA6391">
        <w:rPr>
          <w:rFonts w:asciiTheme="minorHAnsi" w:hAnsiTheme="minorHAnsi" w:cstheme="minorHAnsi"/>
          <w:b/>
          <w:sz w:val="24"/>
          <w:szCs w:val="24"/>
        </w:rPr>
        <w:t>□</w:t>
      </w:r>
      <w:r w:rsidRPr="00AA6391">
        <w:rPr>
          <w:rFonts w:asciiTheme="minorHAnsi" w:hAnsiTheme="minorHAnsi" w:cstheme="minorHAnsi"/>
          <w:sz w:val="24"/>
          <w:szCs w:val="24"/>
        </w:rPr>
        <w:t xml:space="preserve">  </w:t>
      </w:r>
      <w:r w:rsidRPr="00AA6391">
        <w:rPr>
          <w:rFonts w:asciiTheme="minorHAnsi" w:hAnsiTheme="minorHAnsi" w:cstheme="minorHAnsi"/>
        </w:rPr>
        <w:t>ARM</w:t>
      </w:r>
      <w:r w:rsidRPr="00AA6391">
        <w:rPr>
          <w:rFonts w:asciiTheme="minorHAnsi" w:hAnsiTheme="minorHAnsi" w:cstheme="minorHAnsi"/>
        </w:rPr>
        <w:tab/>
      </w:r>
      <w:r w:rsidRPr="00AA6391">
        <w:rPr>
          <w:rFonts w:asciiTheme="minorHAnsi" w:hAnsiTheme="minorHAnsi" w:cstheme="minorHAnsi"/>
          <w:b/>
          <w:sz w:val="24"/>
          <w:szCs w:val="24"/>
        </w:rPr>
        <w:t>□</w:t>
      </w:r>
      <w:r w:rsidRPr="00AA6391">
        <w:rPr>
          <w:rFonts w:asciiTheme="minorHAnsi" w:hAnsiTheme="minorHAnsi" w:cstheme="minorHAnsi"/>
          <w:sz w:val="24"/>
          <w:szCs w:val="24"/>
        </w:rPr>
        <w:t xml:space="preserve">  </w:t>
      </w:r>
      <w:r w:rsidRPr="00AA6391">
        <w:rPr>
          <w:rFonts w:asciiTheme="minorHAnsi" w:hAnsiTheme="minorHAnsi" w:cstheme="minorHAnsi"/>
        </w:rPr>
        <w:t>ENG</w:t>
      </w:r>
      <w:r w:rsidRPr="00AA6391">
        <w:rPr>
          <w:rFonts w:asciiTheme="minorHAnsi" w:hAnsiTheme="minorHAnsi" w:cstheme="minorHAnsi"/>
        </w:rPr>
        <w:tab/>
      </w:r>
      <w:r w:rsidRPr="00AA6391">
        <w:rPr>
          <w:rFonts w:asciiTheme="minorHAnsi" w:hAnsiTheme="minorHAnsi" w:cstheme="minorHAnsi"/>
        </w:rPr>
        <w:tab/>
      </w:r>
      <w:r w:rsidRPr="00AA6391">
        <w:rPr>
          <w:rFonts w:asciiTheme="minorHAnsi" w:hAnsiTheme="minorHAnsi" w:cstheme="minorHAnsi"/>
          <w:b/>
          <w:sz w:val="24"/>
          <w:szCs w:val="24"/>
        </w:rPr>
        <w:t>□</w:t>
      </w:r>
      <w:r w:rsidRPr="00AA6391">
        <w:rPr>
          <w:rFonts w:asciiTheme="minorHAnsi" w:hAnsiTheme="minorHAnsi" w:cstheme="minorHAnsi"/>
          <w:sz w:val="24"/>
          <w:szCs w:val="24"/>
        </w:rPr>
        <w:t xml:space="preserve">  </w:t>
      </w:r>
      <w:r w:rsidRPr="00AA6391">
        <w:rPr>
          <w:rFonts w:asciiTheme="minorHAnsi" w:hAnsiTheme="minorHAnsi" w:cstheme="minorHAnsi"/>
        </w:rPr>
        <w:t>PAP</w:t>
      </w:r>
      <w:r w:rsidRPr="00AA6391">
        <w:rPr>
          <w:rFonts w:asciiTheme="minorHAnsi" w:hAnsiTheme="minorHAnsi" w:cstheme="minorHAnsi"/>
          <w:sz w:val="24"/>
          <w:szCs w:val="24"/>
        </w:rPr>
        <w:tab/>
      </w:r>
      <w:r w:rsidRPr="00AA6391">
        <w:rPr>
          <w:rFonts w:asciiTheme="minorHAnsi" w:hAnsiTheme="minorHAnsi" w:cstheme="minorHAnsi"/>
          <w:sz w:val="24"/>
          <w:szCs w:val="24"/>
        </w:rPr>
        <w:tab/>
      </w:r>
      <w:r w:rsidRPr="00AA6391">
        <w:rPr>
          <w:rFonts w:asciiTheme="minorHAnsi" w:hAnsiTheme="minorHAnsi" w:cstheme="minorHAnsi"/>
          <w:sz w:val="24"/>
          <w:szCs w:val="24"/>
        </w:rPr>
        <w:tab/>
      </w:r>
      <w:r w:rsidRPr="00AA6391">
        <w:rPr>
          <w:rFonts w:asciiTheme="minorHAnsi" w:hAnsiTheme="minorHAnsi" w:cstheme="minorHAnsi"/>
          <w:sz w:val="24"/>
          <w:szCs w:val="24"/>
        </w:rPr>
        <w:tab/>
      </w:r>
      <w:r w:rsidRPr="00AA6391">
        <w:rPr>
          <w:rFonts w:ascii="Segoe UI Symbol" w:hAnsi="Segoe UI Symbol" w:cs="Segoe UI Symbol"/>
          <w:b/>
          <w:sz w:val="24"/>
          <w:szCs w:val="24"/>
        </w:rPr>
        <w:t>☑</w:t>
      </w:r>
      <w:r w:rsidRPr="00AA6391">
        <w:rPr>
          <w:rFonts w:asciiTheme="minorHAnsi" w:hAnsiTheme="minorHAnsi" w:cstheme="minorHAnsi"/>
          <w:sz w:val="24"/>
          <w:szCs w:val="24"/>
        </w:rPr>
        <w:t xml:space="preserve">  Input</w:t>
      </w:r>
    </w:p>
    <w:p w14:paraId="0C4F4B45" w14:textId="77777777" w:rsidR="0098529E" w:rsidRPr="00AA6391" w:rsidRDefault="00000000">
      <w:pPr>
        <w:pStyle w:val="BodyText"/>
        <w:tabs>
          <w:tab w:val="left" w:pos="1843"/>
        </w:tabs>
        <w:rPr>
          <w:rFonts w:asciiTheme="minorHAnsi" w:hAnsiTheme="minorHAnsi" w:cstheme="minorHAnsi"/>
        </w:rPr>
      </w:pPr>
      <w:r w:rsidRPr="00AA6391">
        <w:rPr>
          <w:rFonts w:asciiTheme="minorHAnsi" w:hAnsiTheme="minorHAnsi" w:cstheme="minorHAnsi"/>
          <w:b/>
          <w:sz w:val="24"/>
          <w:szCs w:val="24"/>
        </w:rPr>
        <w:t>□</w:t>
      </w:r>
      <w:r w:rsidRPr="00AA6391">
        <w:rPr>
          <w:rFonts w:asciiTheme="minorHAnsi" w:hAnsiTheme="minorHAnsi" w:cstheme="minorHAnsi"/>
          <w:sz w:val="24"/>
          <w:szCs w:val="24"/>
        </w:rPr>
        <w:t xml:space="preserve">  </w:t>
      </w:r>
      <w:r w:rsidRPr="00AA6391">
        <w:rPr>
          <w:rFonts w:asciiTheme="minorHAnsi" w:hAnsiTheme="minorHAnsi" w:cstheme="minorHAnsi"/>
        </w:rPr>
        <w:t>ENAV</w:t>
      </w:r>
      <w:r w:rsidRPr="00AA6391">
        <w:rPr>
          <w:rFonts w:asciiTheme="minorHAnsi" w:hAnsiTheme="minorHAnsi" w:cstheme="minorHAnsi"/>
          <w:b/>
          <w:sz w:val="24"/>
          <w:szCs w:val="24"/>
        </w:rPr>
        <w:tab/>
        <w:t>X</w:t>
      </w:r>
      <w:r w:rsidRPr="00AA6391">
        <w:rPr>
          <w:rFonts w:asciiTheme="minorHAnsi" w:hAnsiTheme="minorHAnsi" w:cstheme="minorHAnsi"/>
          <w:sz w:val="24"/>
          <w:szCs w:val="24"/>
        </w:rPr>
        <w:t xml:space="preserve">  </w:t>
      </w:r>
      <w:r w:rsidRPr="00AA6391">
        <w:rPr>
          <w:rFonts w:asciiTheme="minorHAnsi" w:hAnsiTheme="minorHAnsi" w:cstheme="minorHAnsi"/>
        </w:rPr>
        <w:t>VTS</w:t>
      </w:r>
      <w:r w:rsidRPr="00AA6391">
        <w:rPr>
          <w:rFonts w:asciiTheme="minorHAnsi" w:hAnsiTheme="minorHAnsi" w:cstheme="minorHAnsi"/>
          <w:sz w:val="24"/>
          <w:szCs w:val="24"/>
        </w:rPr>
        <w:tab/>
      </w:r>
      <w:r w:rsidRPr="00AA6391">
        <w:rPr>
          <w:rFonts w:asciiTheme="minorHAnsi" w:hAnsiTheme="minorHAnsi" w:cstheme="minorHAnsi"/>
          <w:sz w:val="24"/>
          <w:szCs w:val="24"/>
        </w:rPr>
        <w:tab/>
      </w:r>
      <w:r w:rsidRPr="00AA6391">
        <w:rPr>
          <w:rFonts w:asciiTheme="minorHAnsi" w:hAnsiTheme="minorHAnsi" w:cstheme="minorHAnsi"/>
          <w:sz w:val="24"/>
          <w:szCs w:val="24"/>
        </w:rPr>
        <w:tab/>
      </w:r>
      <w:r w:rsidRPr="00AA6391">
        <w:rPr>
          <w:rFonts w:asciiTheme="minorHAnsi" w:hAnsiTheme="minorHAnsi" w:cstheme="minorHAnsi"/>
          <w:sz w:val="24"/>
          <w:szCs w:val="24"/>
        </w:rPr>
        <w:tab/>
      </w:r>
      <w:r w:rsidRPr="00AA6391">
        <w:rPr>
          <w:rFonts w:asciiTheme="minorHAnsi" w:hAnsiTheme="minorHAnsi" w:cstheme="minorHAnsi"/>
          <w:sz w:val="24"/>
          <w:szCs w:val="24"/>
        </w:rPr>
        <w:tab/>
      </w:r>
      <w:r w:rsidRPr="00AA6391">
        <w:rPr>
          <w:rFonts w:asciiTheme="minorHAnsi" w:hAnsiTheme="minorHAnsi" w:cstheme="minorHAnsi"/>
          <w:sz w:val="24"/>
          <w:szCs w:val="24"/>
        </w:rPr>
        <w:tab/>
      </w:r>
      <w:r w:rsidRPr="00AA6391">
        <w:rPr>
          <w:rFonts w:asciiTheme="minorHAnsi" w:hAnsiTheme="minorHAnsi" w:cstheme="minorHAnsi"/>
          <w:b/>
          <w:sz w:val="24"/>
          <w:szCs w:val="24"/>
        </w:rPr>
        <w:t>□</w:t>
      </w:r>
      <w:r w:rsidRPr="00AA6391">
        <w:rPr>
          <w:rFonts w:asciiTheme="minorHAnsi" w:hAnsiTheme="minorHAnsi" w:cstheme="minorHAnsi"/>
          <w:sz w:val="24"/>
          <w:szCs w:val="24"/>
        </w:rPr>
        <w:t xml:space="preserve">  Information</w:t>
      </w:r>
    </w:p>
    <w:p w14:paraId="0C4F4B46" w14:textId="77777777" w:rsidR="0098529E" w:rsidRPr="00AA6391" w:rsidRDefault="0098529E">
      <w:pPr>
        <w:pStyle w:val="BodyText"/>
        <w:tabs>
          <w:tab w:val="left" w:pos="2835"/>
        </w:tabs>
        <w:rPr>
          <w:rFonts w:asciiTheme="minorHAnsi" w:hAnsiTheme="minorHAnsi" w:cstheme="minorHAnsi"/>
        </w:rPr>
      </w:pPr>
    </w:p>
    <w:p w14:paraId="0C4F4B47" w14:textId="55829B54" w:rsidR="0098529E" w:rsidRPr="00AA6391" w:rsidRDefault="00000000">
      <w:pPr>
        <w:pStyle w:val="BodyText"/>
        <w:tabs>
          <w:tab w:val="left" w:pos="2835"/>
        </w:tabs>
        <w:rPr>
          <w:rFonts w:asciiTheme="minorHAnsi" w:hAnsiTheme="minorHAnsi" w:cstheme="minorHAnsi"/>
          <w:lang w:eastAsia="zh-CN"/>
        </w:rPr>
      </w:pPr>
      <w:r w:rsidRPr="00AA6391">
        <w:rPr>
          <w:rFonts w:asciiTheme="minorHAnsi" w:hAnsiTheme="minorHAnsi" w:cstheme="minorHAnsi"/>
        </w:rPr>
        <w:t>Agenda item</w:t>
      </w:r>
      <w:r w:rsidRPr="00AA6391">
        <w:rPr>
          <w:rStyle w:val="FootnoteReference"/>
          <w:rFonts w:asciiTheme="minorHAnsi" w:hAnsiTheme="minorHAnsi" w:cstheme="minorHAnsi"/>
          <w:sz w:val="22"/>
          <w:vertAlign w:val="superscript"/>
        </w:rPr>
        <w:footnoteReference w:id="2"/>
      </w:r>
      <w:r w:rsidRPr="00AA6391">
        <w:rPr>
          <w:rFonts w:asciiTheme="minorHAnsi" w:hAnsiTheme="minorHAnsi" w:cstheme="minorHAnsi"/>
        </w:rPr>
        <w:tab/>
      </w:r>
      <w:r w:rsidRPr="00AA6391">
        <w:rPr>
          <w:rFonts w:asciiTheme="minorHAnsi" w:hAnsiTheme="minorHAnsi" w:cstheme="minorHAnsi"/>
        </w:rPr>
        <w:tab/>
      </w:r>
      <w:r w:rsidRPr="00AA6391">
        <w:rPr>
          <w:rFonts w:asciiTheme="minorHAnsi" w:hAnsiTheme="minorHAnsi" w:cstheme="minorHAnsi"/>
        </w:rPr>
        <w:tab/>
      </w:r>
      <w:r w:rsidR="004655DA" w:rsidRPr="00AA6391">
        <w:rPr>
          <w:rFonts w:asciiTheme="minorHAnsi" w:hAnsiTheme="minorHAnsi" w:cstheme="minorHAnsi"/>
          <w:lang w:eastAsia="zh-CN"/>
        </w:rPr>
        <w:t>8.7</w:t>
      </w:r>
    </w:p>
    <w:p w14:paraId="0C4F4B48" w14:textId="77777777" w:rsidR="0098529E" w:rsidRPr="00AA6391" w:rsidRDefault="00000000">
      <w:pPr>
        <w:pStyle w:val="BodyText"/>
        <w:tabs>
          <w:tab w:val="left" w:pos="2835"/>
        </w:tabs>
        <w:rPr>
          <w:rFonts w:asciiTheme="minorHAnsi" w:hAnsiTheme="minorHAnsi" w:cstheme="minorHAnsi"/>
          <w:lang w:eastAsia="zh-CN"/>
        </w:rPr>
      </w:pPr>
      <w:r w:rsidRPr="00AA6391">
        <w:rPr>
          <w:rFonts w:asciiTheme="minorHAnsi" w:hAnsiTheme="minorHAnsi" w:cstheme="minorHAnsi"/>
        </w:rPr>
        <w:t>Technical Domain / Task Number</w:t>
      </w:r>
      <w:r w:rsidRPr="00AA6391">
        <w:rPr>
          <w:rFonts w:asciiTheme="minorHAnsi" w:hAnsiTheme="minorHAnsi" w:cstheme="minorHAnsi"/>
          <w:vertAlign w:val="superscript"/>
        </w:rPr>
        <w:t>2</w:t>
      </w:r>
      <w:r w:rsidRPr="00AA6391">
        <w:rPr>
          <w:rFonts w:asciiTheme="minorHAnsi" w:hAnsiTheme="minorHAnsi" w:cstheme="minorHAnsi"/>
        </w:rPr>
        <w:tab/>
      </w:r>
      <w:r w:rsidRPr="00AA6391">
        <w:rPr>
          <w:rFonts w:asciiTheme="minorHAnsi" w:hAnsiTheme="minorHAnsi" w:cstheme="minorHAnsi"/>
          <w:lang w:eastAsia="zh-CN"/>
        </w:rPr>
        <w:t>1.8.5</w:t>
      </w:r>
    </w:p>
    <w:p w14:paraId="0C4F4B49" w14:textId="77777777" w:rsidR="0098529E" w:rsidRPr="00AA6391" w:rsidRDefault="00000000">
      <w:pPr>
        <w:pStyle w:val="BodyText"/>
        <w:tabs>
          <w:tab w:val="left" w:pos="2835"/>
        </w:tabs>
        <w:rPr>
          <w:rFonts w:asciiTheme="minorHAnsi" w:hAnsiTheme="minorHAnsi" w:cstheme="minorHAnsi"/>
          <w:lang w:eastAsia="zh-CN"/>
        </w:rPr>
      </w:pPr>
      <w:r w:rsidRPr="00AA6391">
        <w:rPr>
          <w:rFonts w:asciiTheme="minorHAnsi" w:hAnsiTheme="minorHAnsi" w:cstheme="minorHAnsi"/>
        </w:rPr>
        <w:t>Author(s) / Submitter(s)</w:t>
      </w:r>
      <w:r w:rsidRPr="00AA6391">
        <w:rPr>
          <w:rFonts w:asciiTheme="minorHAnsi" w:hAnsiTheme="minorHAnsi" w:cstheme="minorHAnsi"/>
        </w:rPr>
        <w:tab/>
      </w:r>
      <w:r w:rsidRPr="00AA6391">
        <w:rPr>
          <w:rFonts w:asciiTheme="minorHAnsi" w:hAnsiTheme="minorHAnsi" w:cstheme="minorHAnsi"/>
        </w:rPr>
        <w:tab/>
      </w:r>
      <w:r w:rsidRPr="00AA6391">
        <w:rPr>
          <w:rFonts w:asciiTheme="minorHAnsi" w:hAnsiTheme="minorHAnsi" w:cstheme="minorHAnsi"/>
        </w:rPr>
        <w:tab/>
      </w:r>
      <w:r w:rsidRPr="00AA6391">
        <w:rPr>
          <w:rFonts w:asciiTheme="minorHAnsi" w:hAnsiTheme="minorHAnsi" w:cstheme="minorHAnsi"/>
          <w:lang w:eastAsia="zh-CN"/>
        </w:rPr>
        <w:t>China Maritime Safety Administration</w:t>
      </w:r>
    </w:p>
    <w:p w14:paraId="0C4F4B4A" w14:textId="77777777" w:rsidR="0098529E" w:rsidRPr="00AA6391" w:rsidRDefault="0098529E">
      <w:pPr>
        <w:pStyle w:val="BodyText"/>
        <w:tabs>
          <w:tab w:val="left" w:pos="2835"/>
        </w:tabs>
        <w:rPr>
          <w:rFonts w:asciiTheme="minorHAnsi" w:hAnsiTheme="minorHAnsi" w:cstheme="minorHAnsi"/>
          <w:lang w:eastAsia="zh-CN"/>
        </w:rPr>
      </w:pPr>
    </w:p>
    <w:p w14:paraId="0C4F4B4B" w14:textId="77777777" w:rsidR="0098529E" w:rsidRPr="00AA6391" w:rsidRDefault="00000000">
      <w:pPr>
        <w:pStyle w:val="Title"/>
        <w:rPr>
          <w:rFonts w:asciiTheme="minorHAnsi" w:eastAsia="Calibri" w:hAnsiTheme="minorHAnsi" w:cstheme="minorHAnsi"/>
          <w:color w:val="0070C0"/>
          <w:lang w:val="en-US" w:eastAsia="zh-CN"/>
        </w:rPr>
      </w:pPr>
      <w:r w:rsidRPr="00AA6391">
        <w:rPr>
          <w:rFonts w:asciiTheme="minorHAnsi" w:eastAsia="Calibri" w:hAnsiTheme="minorHAnsi" w:cstheme="minorHAnsi"/>
          <w:color w:val="0070C0"/>
          <w:lang w:val="en-US" w:eastAsia="zh-CN"/>
        </w:rPr>
        <w:t>Proposal on revision of G1185 -</w:t>
      </w:r>
      <w:r w:rsidRPr="00AA6391">
        <w:rPr>
          <w:rFonts w:asciiTheme="minorHAnsi" w:eastAsia="Calibri" w:hAnsiTheme="minorHAnsi" w:cstheme="minorHAnsi"/>
          <w:color w:val="0070C0"/>
        </w:rPr>
        <w:t xml:space="preserve"> </w:t>
      </w:r>
      <w:r w:rsidRPr="00AA6391">
        <w:rPr>
          <w:rFonts w:asciiTheme="minorHAnsi" w:eastAsia="Calibri" w:hAnsiTheme="minorHAnsi" w:cstheme="minorHAnsi"/>
          <w:color w:val="0070C0"/>
          <w:lang w:val="en-US" w:eastAsia="zh-CN"/>
        </w:rPr>
        <w:t>Enhancing the Safety and Efficiency of Navigation Around Offshore Renewable Energy Installations (OREI)</w:t>
      </w:r>
    </w:p>
    <w:p w14:paraId="0C4F4B4C" w14:textId="77777777" w:rsidR="0098529E" w:rsidRPr="00AA6391" w:rsidRDefault="00000000">
      <w:pPr>
        <w:pStyle w:val="Heading1"/>
        <w:rPr>
          <w:rFonts w:asciiTheme="minorHAnsi" w:hAnsiTheme="minorHAnsi" w:cstheme="minorHAnsi"/>
        </w:rPr>
      </w:pPr>
      <w:r w:rsidRPr="00AA6391">
        <w:rPr>
          <w:rFonts w:asciiTheme="minorHAnsi" w:hAnsiTheme="minorHAnsi" w:cstheme="minorHAnsi"/>
          <w:lang w:val="en-US" w:eastAsia="zh-CN"/>
        </w:rPr>
        <w:t>S</w:t>
      </w:r>
      <w:r w:rsidRPr="00AA6391">
        <w:rPr>
          <w:rFonts w:asciiTheme="minorHAnsi" w:hAnsiTheme="minorHAnsi" w:cstheme="minorHAnsi"/>
          <w:lang w:eastAsia="zh-CN"/>
        </w:rPr>
        <w:t>ummary</w:t>
      </w:r>
    </w:p>
    <w:p w14:paraId="0C4F4B4D" w14:textId="77777777" w:rsidR="0098529E" w:rsidRPr="00AA6391" w:rsidRDefault="00000000">
      <w:pPr>
        <w:pStyle w:val="BodyText"/>
        <w:rPr>
          <w:rStyle w:val="BodyTextChar"/>
          <w:rFonts w:asciiTheme="minorHAnsi" w:eastAsiaTheme="minorEastAsia" w:hAnsiTheme="minorHAnsi" w:cstheme="minorHAnsi"/>
        </w:rPr>
      </w:pPr>
      <w:r w:rsidRPr="00AA6391">
        <w:rPr>
          <w:rStyle w:val="BodyTextChar"/>
          <w:rFonts w:asciiTheme="minorHAnsi" w:eastAsiaTheme="minorEastAsia" w:hAnsiTheme="minorHAnsi" w:cstheme="minorHAnsi"/>
          <w:lang w:eastAsia="zh-CN"/>
        </w:rPr>
        <w:t xml:space="preserve">Considering task VTS 1.8.5 in VTS 57-6.1.1.1 Annex work programme 2025-2027, the ARM </w:t>
      </w:r>
      <w:r w:rsidRPr="00AA6391">
        <w:rPr>
          <w:rStyle w:val="BodyTextChar"/>
          <w:rFonts w:asciiTheme="minorHAnsi" w:eastAsiaTheme="minorEastAsia" w:hAnsiTheme="minorHAnsi" w:cstheme="minorHAnsi"/>
          <w:lang w:val="en-US" w:eastAsia="zh-CN"/>
        </w:rPr>
        <w:t>C</w:t>
      </w:r>
      <w:r w:rsidRPr="00AA6391">
        <w:rPr>
          <w:rStyle w:val="BodyTextChar"/>
          <w:rFonts w:asciiTheme="minorHAnsi" w:eastAsiaTheme="minorEastAsia" w:hAnsiTheme="minorHAnsi" w:cstheme="minorHAnsi"/>
          <w:lang w:eastAsia="zh-CN"/>
        </w:rPr>
        <w:t xml:space="preserve">ommittee and VTS </w:t>
      </w:r>
      <w:r w:rsidRPr="00AA6391">
        <w:rPr>
          <w:rStyle w:val="BodyTextChar"/>
          <w:rFonts w:asciiTheme="minorHAnsi" w:eastAsiaTheme="minorEastAsia" w:hAnsiTheme="minorHAnsi" w:cstheme="minorHAnsi"/>
          <w:lang w:val="en-US" w:eastAsia="zh-CN"/>
        </w:rPr>
        <w:t>C</w:t>
      </w:r>
      <w:r w:rsidRPr="00AA6391">
        <w:rPr>
          <w:rStyle w:val="BodyTextChar"/>
          <w:rFonts w:asciiTheme="minorHAnsi" w:eastAsiaTheme="minorEastAsia" w:hAnsiTheme="minorHAnsi" w:cstheme="minorHAnsi"/>
          <w:lang w:eastAsia="zh-CN"/>
        </w:rPr>
        <w:t>ommittee jointly complete G1185</w:t>
      </w:r>
      <w:r w:rsidRPr="00AA6391">
        <w:rPr>
          <w:rStyle w:val="BodyTextChar"/>
          <w:rFonts w:asciiTheme="minorHAnsi" w:eastAsiaTheme="minorEastAsia" w:hAnsiTheme="minorHAnsi" w:cstheme="minorHAnsi"/>
          <w:lang w:val="en-US" w:eastAsia="zh-CN"/>
        </w:rPr>
        <w:t xml:space="preserve"> </w:t>
      </w:r>
      <w:r w:rsidRPr="00AA6391">
        <w:rPr>
          <w:rStyle w:val="BodyTextChar"/>
          <w:rFonts w:asciiTheme="minorHAnsi" w:eastAsiaTheme="minorEastAsia" w:hAnsiTheme="minorHAnsi" w:cstheme="minorHAnsi"/>
          <w:lang w:eastAsia="zh-CN"/>
        </w:rPr>
        <w:t>- Enhancing the Safety and Efficiency of Navigation around Offshore Renewable Energy Installations (OREI).</w:t>
      </w:r>
    </w:p>
    <w:p w14:paraId="0C4F4B4E" w14:textId="77777777" w:rsidR="0098529E" w:rsidRPr="00AA6391" w:rsidRDefault="00000000">
      <w:pPr>
        <w:pStyle w:val="BodyText"/>
        <w:rPr>
          <w:rStyle w:val="BodyTextChar"/>
          <w:rFonts w:asciiTheme="minorHAnsi" w:eastAsiaTheme="minorEastAsia" w:hAnsiTheme="minorHAnsi" w:cstheme="minorHAnsi"/>
          <w:lang w:eastAsia="zh-CN"/>
        </w:rPr>
      </w:pPr>
      <w:r w:rsidRPr="00AA6391">
        <w:rPr>
          <w:rStyle w:val="BodyTextChar"/>
          <w:rFonts w:asciiTheme="minorHAnsi" w:eastAsiaTheme="minorEastAsia" w:hAnsiTheme="minorHAnsi" w:cstheme="minorHAnsi"/>
          <w:lang w:eastAsia="zh-CN"/>
        </w:rPr>
        <w:t xml:space="preserve">The VTS Committee formed a LIAISON NOTE (LN) regarding the revision of the G1185 and submitted to the 20th ARM </w:t>
      </w:r>
      <w:r w:rsidRPr="00AA6391">
        <w:rPr>
          <w:rStyle w:val="BodyTextChar"/>
          <w:rFonts w:asciiTheme="minorHAnsi" w:eastAsiaTheme="minorEastAsia" w:hAnsiTheme="minorHAnsi" w:cstheme="minorHAnsi"/>
          <w:lang w:val="en-US" w:eastAsia="zh-CN"/>
        </w:rPr>
        <w:t>C</w:t>
      </w:r>
      <w:r w:rsidRPr="00AA6391">
        <w:rPr>
          <w:rStyle w:val="BodyTextChar"/>
          <w:rFonts w:asciiTheme="minorHAnsi" w:eastAsiaTheme="minorEastAsia" w:hAnsiTheme="minorHAnsi" w:cstheme="minorHAnsi"/>
          <w:lang w:eastAsia="zh-CN"/>
        </w:rPr>
        <w:t>ommittee at VTS 57th meeting.</w:t>
      </w:r>
      <w:r w:rsidRPr="00AA6391">
        <w:rPr>
          <w:rFonts w:asciiTheme="minorHAnsi" w:hAnsiTheme="minorHAnsi" w:cstheme="minorHAnsi"/>
        </w:rPr>
        <w:t xml:space="preserve"> </w:t>
      </w:r>
      <w:r w:rsidRPr="00AA6391">
        <w:rPr>
          <w:rFonts w:asciiTheme="minorHAnsi" w:hAnsiTheme="minorHAnsi" w:cstheme="minorHAnsi"/>
          <w:lang w:eastAsia="zh-CN"/>
        </w:rPr>
        <w:t xml:space="preserve">The LN mentioned that </w:t>
      </w:r>
      <w:r w:rsidRPr="00AA6391">
        <w:rPr>
          <w:rStyle w:val="BodyTextChar"/>
          <w:rFonts w:asciiTheme="minorHAnsi" w:eastAsiaTheme="minorEastAsia" w:hAnsiTheme="minorHAnsi" w:cstheme="minorHAnsi"/>
          <w:lang w:eastAsia="zh-CN"/>
        </w:rPr>
        <w:t>G1150 specifically refers to protection of infrastructure such as OREI during the initiation and planning stage of VTS.</w:t>
      </w:r>
      <w:r w:rsidRPr="00AA6391">
        <w:rPr>
          <w:rFonts w:asciiTheme="minorHAnsi" w:hAnsiTheme="minorHAnsi" w:cstheme="minorHAnsi"/>
        </w:rPr>
        <w:t xml:space="preserve"> </w:t>
      </w:r>
      <w:r w:rsidRPr="00AA6391">
        <w:rPr>
          <w:rStyle w:val="BodyTextChar"/>
          <w:rFonts w:asciiTheme="minorHAnsi" w:eastAsiaTheme="minorEastAsia" w:hAnsiTheme="minorHAnsi" w:cstheme="minorHAnsi"/>
          <w:lang w:eastAsia="zh-CN"/>
        </w:rPr>
        <w:t>The purpose of G1185 is to offer guidance, based on current best practice and knowledge, considering navigational safety issues in and around OREI</w:t>
      </w:r>
      <w:r w:rsidRPr="00AA6391">
        <w:rPr>
          <w:rStyle w:val="BodyTextChar"/>
          <w:rFonts w:asciiTheme="minorHAnsi" w:eastAsiaTheme="minorEastAsia" w:hAnsiTheme="minorHAnsi" w:cstheme="minorHAnsi"/>
          <w:lang w:val="en-US" w:eastAsia="zh-CN"/>
        </w:rPr>
        <w:t xml:space="preserve">, </w:t>
      </w:r>
      <w:r w:rsidRPr="00AA6391">
        <w:rPr>
          <w:rStyle w:val="BodyTextChar"/>
          <w:rFonts w:asciiTheme="minorHAnsi" w:eastAsiaTheme="minorEastAsia" w:hAnsiTheme="minorHAnsi" w:cstheme="minorHAnsi"/>
          <w:lang w:eastAsia="zh-CN"/>
        </w:rPr>
        <w:t>to assist maritime authorities, OREI developers and other stakeholders to plan and construct OREI.</w:t>
      </w:r>
      <w:r w:rsidRPr="00AA6391">
        <w:rPr>
          <w:rFonts w:asciiTheme="minorHAnsi" w:hAnsiTheme="minorHAnsi" w:cstheme="minorHAnsi"/>
        </w:rPr>
        <w:t xml:space="preserve"> </w:t>
      </w:r>
      <w:r w:rsidRPr="00AA6391">
        <w:rPr>
          <w:rStyle w:val="BodyTextChar"/>
          <w:rFonts w:asciiTheme="minorHAnsi" w:eastAsiaTheme="minorEastAsia" w:hAnsiTheme="minorHAnsi" w:cstheme="minorHAnsi"/>
          <w:lang w:eastAsia="zh-CN"/>
        </w:rPr>
        <w:t>However, there is a partial overlap between some VTS waters and the planned waters of OREI, meanwhile the establishment time of VTS centre may be earlier than the construction time of OREI. Therefore, the VTS Competent Authorities or VTS providers should consider the impact of OREI on the safety of navigation and VTS equipment in any VTS area and its surrounding waters, as well as how VTS can provide better services to ensure the safety of navigation in the waters surrounding OREI.</w:t>
      </w:r>
    </w:p>
    <w:p w14:paraId="0C4F4B4F" w14:textId="77777777" w:rsidR="0098529E" w:rsidRPr="00AA6391" w:rsidRDefault="00000000">
      <w:pPr>
        <w:pStyle w:val="BodyText"/>
        <w:rPr>
          <w:rFonts w:asciiTheme="minorHAnsi" w:hAnsiTheme="minorHAnsi" w:cstheme="minorHAnsi"/>
          <w:b/>
          <w:color w:val="0070C0"/>
          <w:sz w:val="24"/>
          <w:szCs w:val="24"/>
          <w:lang w:eastAsia="zh-CN"/>
        </w:rPr>
      </w:pPr>
      <w:r w:rsidRPr="00AA6391">
        <w:rPr>
          <w:rFonts w:asciiTheme="minorHAnsi" w:hAnsiTheme="minorHAnsi" w:cstheme="minorHAnsi"/>
          <w:b/>
          <w:color w:val="0070C0"/>
          <w:sz w:val="24"/>
          <w:szCs w:val="24"/>
          <w:lang w:eastAsia="zh-CN"/>
        </w:rPr>
        <w:t>1.1</w:t>
      </w:r>
      <w:r w:rsidRPr="00AA6391">
        <w:rPr>
          <w:rFonts w:asciiTheme="minorHAnsi" w:hAnsiTheme="minorHAnsi" w:cstheme="minorHAnsi"/>
          <w:b/>
          <w:color w:val="0070C0"/>
          <w:sz w:val="24"/>
          <w:szCs w:val="24"/>
          <w:lang w:eastAsia="zh-CN"/>
        </w:rPr>
        <w:tab/>
      </w:r>
      <w:r w:rsidRPr="00AA6391">
        <w:rPr>
          <w:rFonts w:asciiTheme="minorHAnsi" w:hAnsiTheme="minorHAnsi" w:cstheme="minorHAnsi"/>
          <w:b/>
          <w:caps/>
          <w:color w:val="0070C0"/>
          <w:kern w:val="28"/>
          <w:sz w:val="24"/>
          <w:lang w:eastAsia="zh-CN"/>
        </w:rPr>
        <w:t>PURPOSE OF THE DOCUMENT</w:t>
      </w:r>
    </w:p>
    <w:p w14:paraId="0C4F4B50" w14:textId="77777777" w:rsidR="0098529E" w:rsidRPr="00AA6391" w:rsidRDefault="00000000">
      <w:pPr>
        <w:pStyle w:val="BodyText"/>
        <w:rPr>
          <w:rStyle w:val="BodyTextChar"/>
          <w:rFonts w:asciiTheme="minorHAnsi" w:eastAsiaTheme="minorEastAsia" w:hAnsiTheme="minorHAnsi" w:cstheme="minorHAnsi"/>
          <w:lang w:eastAsia="zh-CN"/>
        </w:rPr>
      </w:pPr>
      <w:r w:rsidRPr="00AA6391">
        <w:rPr>
          <w:rStyle w:val="BodyTextChar"/>
          <w:rFonts w:asciiTheme="minorHAnsi" w:eastAsiaTheme="minorEastAsia" w:hAnsiTheme="minorHAnsi" w:cstheme="minorHAnsi"/>
          <w:lang w:eastAsia="zh-CN"/>
        </w:rPr>
        <w:lastRenderedPageBreak/>
        <w:t xml:space="preserve">The purpose of this proposal is to provide suggestions for revision of document VTS58-7.2.2.1, additional information and recommendations to the task group (1.8.5) for revision of G1185, and recommendations for the 2028-2030 </w:t>
      </w:r>
      <w:r w:rsidRPr="00AA6391">
        <w:rPr>
          <w:rStyle w:val="BodyTextChar"/>
          <w:rFonts w:asciiTheme="minorHAnsi" w:eastAsiaTheme="minorEastAsia" w:hAnsiTheme="minorHAnsi" w:cstheme="minorHAnsi"/>
          <w:lang w:val="en-US" w:eastAsia="zh-CN"/>
        </w:rPr>
        <w:t>W</w:t>
      </w:r>
      <w:r w:rsidRPr="00AA6391">
        <w:rPr>
          <w:rStyle w:val="BodyTextChar"/>
          <w:rFonts w:asciiTheme="minorHAnsi" w:eastAsiaTheme="minorEastAsia" w:hAnsiTheme="minorHAnsi" w:cstheme="minorHAnsi"/>
          <w:lang w:eastAsia="zh-CN"/>
        </w:rPr>
        <w:t xml:space="preserve">ork </w:t>
      </w:r>
      <w:r w:rsidRPr="00AA6391">
        <w:rPr>
          <w:rStyle w:val="BodyTextChar"/>
          <w:rFonts w:asciiTheme="minorHAnsi" w:eastAsiaTheme="minorEastAsia" w:hAnsiTheme="minorHAnsi" w:cstheme="minorHAnsi"/>
          <w:lang w:val="en-US" w:eastAsia="zh-CN"/>
        </w:rPr>
        <w:t>P</w:t>
      </w:r>
      <w:r w:rsidRPr="00AA6391">
        <w:rPr>
          <w:rStyle w:val="BodyTextChar"/>
          <w:rFonts w:asciiTheme="minorHAnsi" w:eastAsiaTheme="minorEastAsia" w:hAnsiTheme="minorHAnsi" w:cstheme="minorHAnsi"/>
          <w:lang w:eastAsia="zh-CN"/>
        </w:rPr>
        <w:t>rogramme.</w:t>
      </w:r>
    </w:p>
    <w:p w14:paraId="0C4F4B51" w14:textId="77777777" w:rsidR="0098529E" w:rsidRPr="00AA6391" w:rsidRDefault="00000000">
      <w:pPr>
        <w:pStyle w:val="Heading2"/>
        <w:numPr>
          <w:ilvl w:val="0"/>
          <w:numId w:val="0"/>
        </w:numPr>
        <w:spacing w:line="400" w:lineRule="exact"/>
        <w:rPr>
          <w:rFonts w:asciiTheme="minorHAnsi" w:hAnsiTheme="minorHAnsi" w:cstheme="minorHAnsi"/>
          <w:lang w:val="en-US" w:eastAsia="zh-CN"/>
        </w:rPr>
      </w:pPr>
      <w:r w:rsidRPr="00AA6391">
        <w:rPr>
          <w:rFonts w:asciiTheme="minorHAnsi" w:hAnsiTheme="minorHAnsi" w:cstheme="minorHAnsi"/>
          <w:caps/>
          <w:kern w:val="28"/>
          <w:szCs w:val="22"/>
          <w:lang w:eastAsia="zh-CN"/>
        </w:rPr>
        <w:t>1.2</w:t>
      </w:r>
      <w:r w:rsidRPr="00AA6391">
        <w:rPr>
          <w:rFonts w:asciiTheme="minorHAnsi" w:hAnsiTheme="minorHAnsi" w:cstheme="minorHAnsi"/>
          <w:caps/>
          <w:kern w:val="28"/>
          <w:szCs w:val="22"/>
          <w:lang w:eastAsia="zh-CN"/>
        </w:rPr>
        <w:tab/>
      </w:r>
      <w:r w:rsidRPr="00AA6391">
        <w:rPr>
          <w:rFonts w:asciiTheme="minorHAnsi" w:hAnsiTheme="minorHAnsi" w:cstheme="minorHAnsi"/>
          <w:kern w:val="28"/>
          <w:szCs w:val="22"/>
          <w:lang w:eastAsia="zh-CN"/>
        </w:rPr>
        <w:t>R</w:t>
      </w:r>
      <w:r w:rsidRPr="00AA6391">
        <w:rPr>
          <w:rFonts w:asciiTheme="minorHAnsi" w:hAnsiTheme="minorHAnsi" w:cstheme="minorHAnsi"/>
          <w:caps/>
          <w:kern w:val="28"/>
          <w:szCs w:val="22"/>
          <w:lang w:eastAsia="zh-CN"/>
        </w:rPr>
        <w:t>ELATED DOCUMENTS</w:t>
      </w:r>
    </w:p>
    <w:p w14:paraId="0C4F4B52" w14:textId="77777777" w:rsidR="0098529E" w:rsidRPr="00AA6391" w:rsidRDefault="00000000">
      <w:pPr>
        <w:pStyle w:val="BodyText"/>
        <w:rPr>
          <w:rFonts w:asciiTheme="minorHAnsi" w:hAnsiTheme="minorHAnsi" w:cstheme="minorHAnsi"/>
        </w:rPr>
      </w:pPr>
      <w:r w:rsidRPr="00AA6391">
        <w:rPr>
          <w:rFonts w:asciiTheme="minorHAnsi" w:hAnsiTheme="minorHAnsi" w:cstheme="minorHAnsi"/>
        </w:rPr>
        <w:t>IMO. Resolution A.1158(32) Guidelines for Vessel Traffic Services</w:t>
      </w:r>
    </w:p>
    <w:p w14:paraId="0C4F4B53" w14:textId="77777777" w:rsidR="0098529E" w:rsidRPr="00AA6391" w:rsidRDefault="00000000">
      <w:pPr>
        <w:pStyle w:val="BodyText"/>
        <w:rPr>
          <w:rFonts w:asciiTheme="minorHAnsi" w:hAnsiTheme="minorHAnsi" w:cstheme="minorHAnsi"/>
          <w:lang w:val="en-US"/>
        </w:rPr>
      </w:pPr>
      <w:r w:rsidRPr="00AA6391">
        <w:rPr>
          <w:rFonts w:asciiTheme="minorHAnsi" w:hAnsiTheme="minorHAnsi" w:cstheme="minorHAnsi"/>
          <w:lang w:val="en-US" w:eastAsia="zh-CN"/>
        </w:rPr>
        <w:t xml:space="preserve">G1150 ESTABLISHING, PLANNING AND IMPLEMENTING A VTS </w:t>
      </w:r>
    </w:p>
    <w:p w14:paraId="0C4F4B54" w14:textId="77777777" w:rsidR="0098529E" w:rsidRPr="00AA6391" w:rsidRDefault="00000000">
      <w:pPr>
        <w:pStyle w:val="BodyText"/>
        <w:rPr>
          <w:rFonts w:asciiTheme="minorHAnsi" w:hAnsiTheme="minorHAnsi" w:cstheme="minorHAnsi"/>
          <w:lang w:val="en-US" w:eastAsia="zh-CN"/>
        </w:rPr>
      </w:pPr>
      <w:r w:rsidRPr="00AA6391">
        <w:rPr>
          <w:rFonts w:asciiTheme="minorHAnsi" w:hAnsiTheme="minorHAnsi" w:cstheme="minorHAnsi"/>
          <w:lang w:val="en-US" w:eastAsia="zh-CN"/>
        </w:rPr>
        <w:t>G1185- ENHANCING THE SAFETY AND EFFICIENCY OF NAVIGATION AROUND OFFSHORE RENEWABLE ENERGY INSTALLATIONS (OREI)</w:t>
      </w:r>
    </w:p>
    <w:p w14:paraId="0C4F4B55" w14:textId="77777777" w:rsidR="0098529E" w:rsidRPr="00AA6391" w:rsidRDefault="00000000">
      <w:pPr>
        <w:pStyle w:val="BodyText"/>
        <w:rPr>
          <w:rFonts w:asciiTheme="minorHAnsi" w:hAnsiTheme="minorHAnsi" w:cstheme="minorHAnsi"/>
          <w:lang w:val="en-US" w:eastAsia="zh-CN"/>
        </w:rPr>
      </w:pPr>
      <w:r w:rsidRPr="00AA6391">
        <w:rPr>
          <w:rFonts w:asciiTheme="minorHAnsi" w:hAnsiTheme="minorHAnsi" w:cstheme="minorHAnsi"/>
          <w:lang w:val="en-US" w:eastAsia="zh-CN"/>
        </w:rPr>
        <w:t>G1121-NAVIGATIONAL SAFETY WITHIN MARINE SPATIAL PLANNING</w:t>
      </w:r>
    </w:p>
    <w:p w14:paraId="0C4F4B56" w14:textId="77777777" w:rsidR="0098529E" w:rsidRPr="00AA6391" w:rsidRDefault="00000000">
      <w:pPr>
        <w:pStyle w:val="BodyText"/>
        <w:rPr>
          <w:rFonts w:asciiTheme="minorHAnsi" w:hAnsiTheme="minorHAnsi" w:cstheme="minorHAnsi"/>
          <w:lang w:val="en-US" w:eastAsia="zh-CN"/>
        </w:rPr>
      </w:pPr>
      <w:r w:rsidRPr="00AA6391">
        <w:rPr>
          <w:rFonts w:asciiTheme="minorHAnsi" w:hAnsiTheme="minorHAnsi" w:cstheme="minorHAnsi"/>
          <w:lang w:val="en-US" w:eastAsia="zh-CN"/>
        </w:rPr>
        <w:t>G1111-2-Ed1.0-Producing-Requirements-for-Voice-Communications</w:t>
      </w:r>
    </w:p>
    <w:p w14:paraId="0C4F4B57" w14:textId="77777777" w:rsidR="0098529E" w:rsidRPr="00AA6391" w:rsidRDefault="00000000">
      <w:pPr>
        <w:pStyle w:val="BodyText"/>
        <w:rPr>
          <w:rFonts w:asciiTheme="minorHAnsi" w:hAnsiTheme="minorHAnsi" w:cstheme="minorHAnsi"/>
          <w:lang w:val="en-US" w:eastAsia="zh-CN"/>
        </w:rPr>
      </w:pPr>
      <w:r w:rsidRPr="00AA6391">
        <w:rPr>
          <w:rFonts w:asciiTheme="minorHAnsi" w:hAnsiTheme="minorHAnsi" w:cstheme="minorHAnsi"/>
          <w:lang w:val="en-US" w:eastAsia="zh-CN"/>
        </w:rPr>
        <w:t>G1111-3-Ed1.0-Producing-Requirements-for-Radar</w:t>
      </w:r>
    </w:p>
    <w:p w14:paraId="0C4F4B58" w14:textId="77777777" w:rsidR="0098529E" w:rsidRPr="00AA6391" w:rsidRDefault="00000000">
      <w:pPr>
        <w:pStyle w:val="BodyText"/>
        <w:rPr>
          <w:rFonts w:asciiTheme="minorHAnsi" w:hAnsiTheme="minorHAnsi" w:cstheme="minorHAnsi"/>
          <w:lang w:val="en-US" w:eastAsia="zh-CN"/>
        </w:rPr>
      </w:pPr>
      <w:r w:rsidRPr="00AA6391">
        <w:rPr>
          <w:rFonts w:asciiTheme="minorHAnsi" w:hAnsiTheme="minorHAnsi" w:cstheme="minorHAnsi"/>
          <w:lang w:val="en-US" w:eastAsia="zh-CN"/>
        </w:rPr>
        <w:t>G1111-4-Ed1.0-Producing-Requirements-for-AIS</w:t>
      </w:r>
    </w:p>
    <w:p w14:paraId="0C4F4B59" w14:textId="77777777" w:rsidR="0098529E" w:rsidRPr="00AA6391" w:rsidRDefault="00000000">
      <w:pPr>
        <w:pStyle w:val="BodyText"/>
        <w:rPr>
          <w:rFonts w:asciiTheme="minorHAnsi" w:hAnsiTheme="minorHAnsi" w:cstheme="minorHAnsi"/>
          <w:lang w:val="en-US" w:eastAsia="zh-CN"/>
        </w:rPr>
      </w:pPr>
      <w:r w:rsidRPr="00AA6391">
        <w:rPr>
          <w:rFonts w:asciiTheme="minorHAnsi" w:hAnsiTheme="minorHAnsi" w:cstheme="minorHAnsi"/>
          <w:lang w:val="en-US" w:eastAsia="zh-CN"/>
        </w:rPr>
        <w:t>G1111-7-Ed1.0-Producing-Requirements-for-Radio-Direction-Finders</w:t>
      </w:r>
    </w:p>
    <w:p w14:paraId="0C4F4B5A" w14:textId="77777777" w:rsidR="0098529E" w:rsidRPr="00AA6391" w:rsidRDefault="00000000">
      <w:pPr>
        <w:pStyle w:val="BodyText"/>
        <w:rPr>
          <w:rFonts w:asciiTheme="minorHAnsi" w:hAnsiTheme="minorHAnsi" w:cstheme="minorHAnsi"/>
          <w:lang w:val="en-US" w:eastAsia="zh-CN"/>
        </w:rPr>
      </w:pPr>
      <w:r w:rsidRPr="00AA6391">
        <w:rPr>
          <w:rFonts w:asciiTheme="minorHAnsi" w:hAnsiTheme="minorHAnsi" w:cstheme="minorHAnsi"/>
          <w:lang w:val="en-US" w:eastAsia="zh-CN"/>
        </w:rPr>
        <w:t>G1070-</w:t>
      </w:r>
      <w:r w:rsidRPr="00AA6391">
        <w:rPr>
          <w:rFonts w:asciiTheme="minorHAnsi" w:hAnsiTheme="minorHAnsi" w:cstheme="minorHAnsi"/>
        </w:rPr>
        <w:t xml:space="preserve"> </w:t>
      </w:r>
      <w:r w:rsidRPr="00AA6391">
        <w:rPr>
          <w:rFonts w:asciiTheme="minorHAnsi" w:hAnsiTheme="minorHAnsi" w:cstheme="minorHAnsi"/>
          <w:lang w:val="en-US" w:eastAsia="zh-CN"/>
        </w:rPr>
        <w:t>VTS ROLE IN MANAGING RESTRICTED OR LIMITED ACCESS AREAS</w:t>
      </w:r>
    </w:p>
    <w:p w14:paraId="0C4F4B5B" w14:textId="77777777" w:rsidR="0098529E" w:rsidRPr="00AA6391" w:rsidRDefault="00000000">
      <w:pPr>
        <w:pStyle w:val="BodyText"/>
        <w:rPr>
          <w:rFonts w:asciiTheme="minorHAnsi" w:hAnsiTheme="minorHAnsi" w:cstheme="minorHAnsi"/>
          <w:lang w:eastAsia="zh-CN"/>
        </w:rPr>
      </w:pPr>
      <w:r w:rsidRPr="00AA6391">
        <w:rPr>
          <w:rFonts w:asciiTheme="minorHAnsi" w:hAnsiTheme="minorHAnsi" w:cstheme="minorHAnsi"/>
          <w:lang w:eastAsia="zh-CN"/>
        </w:rPr>
        <w:t>VTS57-12.2.2 LN to ARM19 on the proposal of the revision of Guideline G1185</w:t>
      </w:r>
    </w:p>
    <w:p w14:paraId="0C4F4B5C" w14:textId="77777777" w:rsidR="0098529E" w:rsidRPr="00AA6391" w:rsidRDefault="00000000">
      <w:pPr>
        <w:pStyle w:val="BodyText"/>
        <w:rPr>
          <w:rFonts w:asciiTheme="minorHAnsi" w:hAnsiTheme="minorHAnsi" w:cstheme="minorHAnsi"/>
          <w:lang w:val="en-US" w:eastAsia="zh-CN"/>
        </w:rPr>
      </w:pPr>
      <w:r w:rsidRPr="00AA6391">
        <w:rPr>
          <w:rFonts w:asciiTheme="minorHAnsi" w:hAnsiTheme="minorHAnsi" w:cstheme="minorHAnsi"/>
          <w:lang w:val="en-US" w:eastAsia="zh-CN"/>
        </w:rPr>
        <w:t>VTS57-6.1.1.1 Annex work programme 2025-2027</w:t>
      </w:r>
    </w:p>
    <w:p w14:paraId="0C4F4B5D" w14:textId="77777777" w:rsidR="0098529E" w:rsidRPr="00AA6391" w:rsidRDefault="00000000">
      <w:pPr>
        <w:pStyle w:val="BodyText"/>
        <w:rPr>
          <w:rFonts w:asciiTheme="minorHAnsi" w:hAnsiTheme="minorHAnsi" w:cstheme="minorHAnsi"/>
          <w:lang w:val="en-US" w:eastAsia="zh-CN"/>
        </w:rPr>
      </w:pPr>
      <w:r w:rsidRPr="00AA6391">
        <w:rPr>
          <w:rFonts w:asciiTheme="minorHAnsi" w:hAnsiTheme="minorHAnsi" w:cstheme="minorHAnsi"/>
          <w:lang w:val="en-US" w:eastAsia="zh-CN"/>
        </w:rPr>
        <w:t>VTS58-7.2.2.1 G1185 Ed1.0 Enhancing the safety around OREI post ARM20 (ARM20-11.2.9.1)</w:t>
      </w:r>
    </w:p>
    <w:p w14:paraId="0C4F4B5E" w14:textId="77777777" w:rsidR="0098529E" w:rsidRPr="00AA6391" w:rsidRDefault="00000000">
      <w:pPr>
        <w:pStyle w:val="Heading1"/>
        <w:spacing w:line="400" w:lineRule="exact"/>
        <w:rPr>
          <w:rFonts w:asciiTheme="minorHAnsi" w:hAnsiTheme="minorHAnsi" w:cstheme="minorHAnsi"/>
          <w:lang w:val="en-US" w:eastAsia="zh-CN"/>
        </w:rPr>
      </w:pPr>
      <w:r w:rsidRPr="00AA6391">
        <w:rPr>
          <w:rFonts w:asciiTheme="minorHAnsi" w:hAnsiTheme="minorHAnsi" w:cstheme="minorHAnsi"/>
          <w:lang w:eastAsia="zh-CN"/>
        </w:rPr>
        <w:t xml:space="preserve">background </w:t>
      </w:r>
    </w:p>
    <w:p w14:paraId="0C4F4B5F" w14:textId="77777777" w:rsidR="0098529E" w:rsidRPr="00AA6391" w:rsidRDefault="00000000">
      <w:pPr>
        <w:pStyle w:val="BodyText"/>
        <w:rPr>
          <w:rStyle w:val="BodyTextChar"/>
          <w:rFonts w:asciiTheme="minorHAnsi" w:eastAsiaTheme="minorEastAsia" w:hAnsiTheme="minorHAnsi" w:cstheme="minorHAnsi"/>
          <w:color w:val="EE0000"/>
          <w:lang w:eastAsia="zh-CN"/>
        </w:rPr>
      </w:pPr>
      <w:r w:rsidRPr="00AA6391">
        <w:rPr>
          <w:rStyle w:val="BodyTextChar"/>
          <w:rFonts w:asciiTheme="minorHAnsi" w:eastAsiaTheme="minorEastAsia" w:hAnsiTheme="minorHAnsi" w:cstheme="minorHAnsi"/>
          <w:lang w:eastAsia="zh-CN"/>
        </w:rPr>
        <w:t>Since the 21st century, the construction of OREI has shown a rapid expansion trend globally, aiming to reduce carbon emissions and enhance energy security. From 2022 to 2025, the global offshore wind power industry has seen rapid growth</w:t>
      </w:r>
      <w:r w:rsidRPr="00AA6391">
        <w:rPr>
          <w:rStyle w:val="BodyTextChar"/>
          <w:rFonts w:asciiTheme="minorHAnsi" w:eastAsiaTheme="minorEastAsia" w:hAnsiTheme="minorHAnsi" w:cstheme="minorHAnsi"/>
        </w:rPr>
        <w:t>. I</w:t>
      </w:r>
      <w:r w:rsidRPr="00AA6391">
        <w:rPr>
          <w:rStyle w:val="BodyTextChar"/>
          <w:rFonts w:asciiTheme="minorHAnsi" w:eastAsiaTheme="minorEastAsia" w:hAnsiTheme="minorHAnsi" w:cstheme="minorHAnsi"/>
          <w:lang w:eastAsia="zh-CN"/>
        </w:rPr>
        <w:t>n 2024, the global cumulative offshore wind capacity was approximately 83.2 GW. By 2025, it is estimated to surpass 100 GW</w:t>
      </w:r>
      <w:r w:rsidRPr="00AA6391">
        <w:rPr>
          <w:rStyle w:val="BodyTextChar"/>
          <w:rFonts w:asciiTheme="minorHAnsi" w:eastAsiaTheme="minorEastAsia" w:hAnsiTheme="minorHAnsi" w:cstheme="minorHAnsi"/>
          <w:lang w:val="en-US" w:eastAsia="zh-CN"/>
        </w:rPr>
        <w:t xml:space="preserve">, </w:t>
      </w:r>
      <w:r w:rsidRPr="00AA6391">
        <w:rPr>
          <w:rStyle w:val="BodyTextChar"/>
          <w:rFonts w:asciiTheme="minorHAnsi" w:eastAsiaTheme="minorEastAsia" w:hAnsiTheme="minorHAnsi" w:cstheme="minorHAnsi"/>
          <w:lang w:eastAsia="zh-CN"/>
        </w:rPr>
        <w:t>with significant contributions from China, the UK, Germany, the Netherlands, and Denmark.</w:t>
      </w:r>
      <w:r w:rsidRPr="00AA6391">
        <w:rPr>
          <w:rStyle w:val="BodyTextChar"/>
          <w:rFonts w:asciiTheme="minorHAnsi" w:eastAsiaTheme="minorEastAsia" w:hAnsiTheme="minorHAnsi" w:cstheme="minorHAnsi"/>
          <w:color w:val="EE0000"/>
          <w:lang w:eastAsia="zh-CN"/>
        </w:rPr>
        <w:t xml:space="preserve"> </w:t>
      </w:r>
    </w:p>
    <w:p w14:paraId="0C4F4B61" w14:textId="44BAEF8E" w:rsidR="0098529E" w:rsidRPr="009F41B3" w:rsidRDefault="00000000">
      <w:pPr>
        <w:pStyle w:val="BodyText"/>
        <w:rPr>
          <w:rStyle w:val="BodyTextChar"/>
          <w:rFonts w:asciiTheme="minorHAnsi" w:eastAsiaTheme="minorEastAsia" w:hAnsiTheme="minorHAnsi" w:cstheme="minorHAnsi"/>
          <w:lang w:val="en-US" w:eastAsia="zh-CN"/>
        </w:rPr>
      </w:pPr>
      <w:r w:rsidRPr="00AA6391">
        <w:rPr>
          <w:rStyle w:val="BodyTextChar"/>
          <w:rFonts w:asciiTheme="minorHAnsi" w:eastAsiaTheme="minorEastAsia" w:hAnsiTheme="minorHAnsi" w:cstheme="minorHAnsi"/>
          <w:lang w:eastAsia="zh-CN"/>
        </w:rPr>
        <w:t xml:space="preserve">As of 2024, China's cumulative offshore wind power installed capacity exceeded 41.6 GW, covering coastal waters from north to south. China has established Marine Spatial Planning (MSP) at the national level, including ecological protection </w:t>
      </w:r>
      <w:r w:rsidRPr="00AA6391">
        <w:rPr>
          <w:rStyle w:val="BodyTextChar"/>
          <w:rFonts w:asciiTheme="minorHAnsi" w:eastAsiaTheme="minorEastAsia" w:hAnsiTheme="minorHAnsi" w:cstheme="minorHAnsi"/>
          <w:lang w:val="en-US" w:eastAsia="zh-CN"/>
        </w:rPr>
        <w:t>areas</w:t>
      </w:r>
      <w:r w:rsidRPr="00AA6391">
        <w:rPr>
          <w:rStyle w:val="BodyTextChar"/>
          <w:rFonts w:asciiTheme="minorHAnsi" w:eastAsiaTheme="minorEastAsia" w:hAnsiTheme="minorHAnsi" w:cstheme="minorHAnsi"/>
          <w:lang w:eastAsia="zh-CN"/>
        </w:rPr>
        <w:t xml:space="preserve">, ecological control </w:t>
      </w:r>
      <w:r w:rsidRPr="00AA6391">
        <w:rPr>
          <w:rStyle w:val="BodyTextChar"/>
          <w:rFonts w:asciiTheme="minorHAnsi" w:eastAsiaTheme="minorEastAsia" w:hAnsiTheme="minorHAnsi" w:cstheme="minorHAnsi"/>
          <w:lang w:val="en-US" w:eastAsia="zh-CN"/>
        </w:rPr>
        <w:t>areas</w:t>
      </w:r>
      <w:r w:rsidRPr="00AA6391">
        <w:rPr>
          <w:rStyle w:val="BodyTextChar"/>
          <w:rFonts w:asciiTheme="minorHAnsi" w:eastAsiaTheme="minorEastAsia" w:hAnsiTheme="minorHAnsi" w:cstheme="minorHAnsi"/>
          <w:lang w:eastAsia="zh-CN"/>
        </w:rPr>
        <w:t xml:space="preserve">, and marine development </w:t>
      </w:r>
      <w:r w:rsidRPr="00AA6391">
        <w:rPr>
          <w:rStyle w:val="BodyTextChar"/>
          <w:rFonts w:asciiTheme="minorHAnsi" w:eastAsiaTheme="minorEastAsia" w:hAnsiTheme="minorHAnsi" w:cstheme="minorHAnsi"/>
          <w:lang w:val="en-US" w:eastAsia="zh-CN"/>
        </w:rPr>
        <w:t>areas</w:t>
      </w:r>
      <w:r w:rsidRPr="00AA6391">
        <w:rPr>
          <w:rStyle w:val="BodyTextChar"/>
          <w:rFonts w:asciiTheme="minorHAnsi" w:eastAsiaTheme="minorEastAsia" w:hAnsiTheme="minorHAnsi" w:cstheme="minorHAnsi"/>
          <w:lang w:eastAsia="zh-CN"/>
        </w:rPr>
        <w:t xml:space="preserve">. The marine development </w:t>
      </w:r>
      <w:r w:rsidRPr="00AA6391">
        <w:rPr>
          <w:rStyle w:val="BodyTextChar"/>
          <w:rFonts w:asciiTheme="minorHAnsi" w:eastAsiaTheme="minorEastAsia" w:hAnsiTheme="minorHAnsi" w:cstheme="minorHAnsi"/>
          <w:lang w:val="en-US" w:eastAsia="zh-CN"/>
        </w:rPr>
        <w:t>areas are</w:t>
      </w:r>
      <w:r w:rsidRPr="00AA6391">
        <w:rPr>
          <w:rStyle w:val="BodyTextChar"/>
          <w:rFonts w:asciiTheme="minorHAnsi" w:eastAsiaTheme="minorEastAsia" w:hAnsiTheme="minorHAnsi" w:cstheme="minorHAnsi"/>
          <w:lang w:eastAsia="zh-CN"/>
        </w:rPr>
        <w:t xml:space="preserve"> further divided into transportation areas, industrial and mining communications areas, marine recreation and tourism areas, fishery areas, special marine areas, marine reserve areas, etc..</w:t>
      </w:r>
      <w:r w:rsidRPr="00AA6391">
        <w:rPr>
          <w:rStyle w:val="BodyTextChar"/>
          <w:rFonts w:asciiTheme="minorHAnsi" w:eastAsiaTheme="minorEastAsia" w:hAnsiTheme="minorHAnsi" w:cstheme="minorHAnsi"/>
        </w:rPr>
        <w:t xml:space="preserve"> </w:t>
      </w:r>
      <w:r w:rsidRPr="00AA6391">
        <w:rPr>
          <w:rStyle w:val="BodyTextChar"/>
          <w:rFonts w:asciiTheme="minorHAnsi" w:hAnsiTheme="minorHAnsi" w:cstheme="minorHAnsi"/>
          <w:lang w:eastAsia="zh-CN"/>
        </w:rPr>
        <w:t>Industrial and mining communication areas include the sea areas for renewable energy. China Maritime Safety Administration(</w:t>
      </w:r>
      <w:r w:rsidRPr="00AA6391">
        <w:rPr>
          <w:rStyle w:val="BodyTextChar"/>
          <w:rFonts w:asciiTheme="minorHAnsi" w:hAnsiTheme="minorHAnsi" w:cstheme="minorHAnsi"/>
          <w:lang w:val="en-US" w:eastAsia="zh-CN"/>
        </w:rPr>
        <w:t>MSA)</w:t>
      </w:r>
      <w:r w:rsidRPr="00AA6391">
        <w:rPr>
          <w:rStyle w:val="BodyTextChar"/>
          <w:rFonts w:asciiTheme="minorHAnsi" w:hAnsiTheme="minorHAnsi" w:cstheme="minorHAnsi"/>
          <w:lang w:eastAsia="zh-CN"/>
        </w:rPr>
        <w:t xml:space="preserve"> has extensive experience in managing </w:t>
      </w:r>
      <w:r w:rsidRPr="00AA6391">
        <w:rPr>
          <w:rStyle w:val="BodyTextChar"/>
          <w:rFonts w:asciiTheme="minorHAnsi" w:eastAsiaTheme="minorEastAsia" w:hAnsiTheme="minorHAnsi" w:cstheme="minorHAnsi"/>
          <w:lang w:eastAsia="zh-CN"/>
        </w:rPr>
        <w:t>OREI</w:t>
      </w:r>
      <w:r w:rsidRPr="00AA6391">
        <w:rPr>
          <w:rStyle w:val="BodyTextChar"/>
          <w:rFonts w:asciiTheme="minorHAnsi" w:hAnsiTheme="minorHAnsi" w:cstheme="minorHAnsi"/>
          <w:lang w:eastAsia="zh-CN"/>
        </w:rPr>
        <w:t xml:space="preserve"> and issued</w:t>
      </w:r>
      <w:r w:rsidRPr="00AA6391">
        <w:rPr>
          <w:rStyle w:val="BodyTextChar"/>
          <w:rFonts w:asciiTheme="minorHAnsi" w:eastAsiaTheme="minorEastAsia" w:hAnsiTheme="minorHAnsi" w:cstheme="minorHAnsi"/>
          <w:lang w:eastAsia="zh-CN"/>
        </w:rPr>
        <w:t xml:space="preserve"> </w:t>
      </w:r>
      <w:r w:rsidRPr="00AA6391">
        <w:rPr>
          <w:rStyle w:val="BodyTextChar"/>
          <w:rFonts w:asciiTheme="minorHAnsi" w:hAnsiTheme="minorHAnsi" w:cstheme="minorHAnsi"/>
          <w:lang w:eastAsia="zh-CN"/>
        </w:rPr>
        <w:t>corresponding guidelines and management measures from the perspective of maritime supervision. As OREI becomes more widely distributed, with some of them located within VTS waters, it is particularly important to scientifically assess the impact of OREI on VTS and to take appropriate remedial measures during the design and construction stages of OREI.</w:t>
      </w:r>
    </w:p>
    <w:p w14:paraId="0C4F4B62" w14:textId="77777777" w:rsidR="0098529E" w:rsidRPr="00AA6391" w:rsidRDefault="00000000">
      <w:pPr>
        <w:pStyle w:val="Heading1"/>
        <w:spacing w:line="400" w:lineRule="exact"/>
        <w:rPr>
          <w:rFonts w:asciiTheme="minorHAnsi" w:hAnsiTheme="minorHAnsi" w:cstheme="minorHAnsi"/>
          <w:lang w:eastAsia="zh-CN"/>
        </w:rPr>
      </w:pPr>
      <w:r w:rsidRPr="00AA6391">
        <w:rPr>
          <w:rFonts w:asciiTheme="minorHAnsi" w:hAnsiTheme="minorHAnsi" w:cstheme="minorHAnsi"/>
          <w:lang w:eastAsia="zh-CN"/>
        </w:rPr>
        <w:lastRenderedPageBreak/>
        <w:t>DISCUSSION</w:t>
      </w:r>
    </w:p>
    <w:p w14:paraId="0C4F4B63" w14:textId="77777777" w:rsidR="0098529E" w:rsidRPr="00AA6391" w:rsidRDefault="00000000">
      <w:pPr>
        <w:pStyle w:val="BodyText"/>
        <w:rPr>
          <w:rFonts w:asciiTheme="minorHAnsi" w:hAnsiTheme="minorHAnsi" w:cstheme="minorHAnsi"/>
          <w:b/>
          <w:color w:val="0070C0"/>
          <w:sz w:val="24"/>
          <w:szCs w:val="24"/>
          <w:lang w:eastAsia="zh-CN"/>
        </w:rPr>
      </w:pPr>
      <w:r w:rsidRPr="00AA6391">
        <w:rPr>
          <w:rFonts w:asciiTheme="minorHAnsi" w:hAnsiTheme="minorHAnsi" w:cstheme="minorHAnsi"/>
          <w:b/>
          <w:color w:val="0070C0"/>
          <w:sz w:val="24"/>
          <w:szCs w:val="24"/>
          <w:lang w:eastAsia="zh-CN"/>
        </w:rPr>
        <w:t>3.1</w:t>
      </w:r>
      <w:r w:rsidRPr="00AA6391">
        <w:rPr>
          <w:rFonts w:asciiTheme="minorHAnsi" w:hAnsiTheme="minorHAnsi" w:cstheme="minorHAnsi"/>
          <w:b/>
          <w:color w:val="0070C0"/>
          <w:sz w:val="24"/>
          <w:szCs w:val="24"/>
          <w:lang w:eastAsia="zh-CN"/>
        </w:rPr>
        <w:tab/>
        <w:t>Impact of OREI on VTS equipment</w:t>
      </w:r>
    </w:p>
    <w:p w14:paraId="0C4F4B64" w14:textId="77777777" w:rsidR="0098529E" w:rsidRPr="00AA6391" w:rsidRDefault="00000000">
      <w:pPr>
        <w:pStyle w:val="BodyText"/>
        <w:rPr>
          <w:rStyle w:val="BodyTextChar"/>
          <w:rFonts w:asciiTheme="minorHAnsi" w:hAnsiTheme="minorHAnsi" w:cstheme="minorHAnsi"/>
          <w:lang w:eastAsia="zh-CN"/>
        </w:rPr>
      </w:pPr>
      <w:r w:rsidRPr="00AA6391">
        <w:rPr>
          <w:rStyle w:val="BodyTextChar"/>
          <w:rFonts w:asciiTheme="minorHAnsi" w:hAnsiTheme="minorHAnsi" w:cstheme="minorHAnsi"/>
          <w:lang w:eastAsia="zh-CN"/>
        </w:rPr>
        <w:t>OREI affects not only the detection performance of VTS radars, but also the signals of VTS system and ships’ navigational equipment such as AIS, VHF, and RDF. AIS and RDF devices assist the VTS system in tracking, identifying, and exchanging data on targets, and play an active role in collision prevention, search and rescue, and emergency response. The G1185 only considers the impact of OREI on communication and VTS radar. It is recommended that the impact on AIS, VHF and RDF be added to the G1185.</w:t>
      </w:r>
    </w:p>
    <w:p w14:paraId="0C4F4B65" w14:textId="77777777" w:rsidR="0098529E" w:rsidRPr="00AA6391" w:rsidRDefault="00000000">
      <w:pPr>
        <w:pStyle w:val="BodyText"/>
        <w:rPr>
          <w:rStyle w:val="BodyTextChar"/>
          <w:rFonts w:asciiTheme="minorHAnsi" w:hAnsiTheme="minorHAnsi" w:cstheme="minorHAnsi"/>
          <w:lang w:eastAsia="zh-CN"/>
        </w:rPr>
      </w:pPr>
      <w:r w:rsidRPr="00AA6391">
        <w:rPr>
          <w:rStyle w:val="BodyTextChar"/>
          <w:rFonts w:asciiTheme="minorHAnsi" w:hAnsiTheme="minorHAnsi" w:cstheme="minorHAnsi"/>
          <w:lang w:eastAsia="zh-CN"/>
        </w:rPr>
        <w:t xml:space="preserve">The requirements specified in part 3.6.2 of G1111-3 </w:t>
      </w:r>
      <w:r w:rsidRPr="00AA6391">
        <w:rPr>
          <w:rStyle w:val="BodyTextChar"/>
          <w:rFonts w:asciiTheme="minorHAnsi" w:hAnsiTheme="minorHAnsi" w:cstheme="minorHAnsi"/>
          <w:i/>
          <w:iCs/>
          <w:lang w:eastAsia="zh-CN"/>
        </w:rPr>
        <w:t>Producing Requirements for Radar</w:t>
      </w:r>
      <w:r w:rsidRPr="00AA6391">
        <w:rPr>
          <w:rStyle w:val="BodyTextChar"/>
          <w:rFonts w:asciiTheme="minorHAnsi" w:hAnsiTheme="minorHAnsi" w:cstheme="minorHAnsi"/>
          <w:lang w:eastAsia="zh-CN"/>
        </w:rPr>
        <w:t xml:space="preserve"> may be used as supplementary performance requirements for VTS radar. For further details, please refer to the revised highlighted parts of VTS58-7.2.2.1 in Annex 1.</w:t>
      </w:r>
    </w:p>
    <w:p w14:paraId="0C4F4B66" w14:textId="77777777" w:rsidR="0098529E" w:rsidRPr="00AA6391" w:rsidRDefault="00000000">
      <w:pPr>
        <w:pStyle w:val="BodyText"/>
        <w:rPr>
          <w:rFonts w:asciiTheme="minorHAnsi" w:hAnsiTheme="minorHAnsi" w:cstheme="minorHAnsi"/>
          <w:b/>
          <w:color w:val="0070C0"/>
          <w:sz w:val="24"/>
          <w:szCs w:val="24"/>
          <w:lang w:eastAsia="zh-CN"/>
        </w:rPr>
      </w:pPr>
      <w:r w:rsidRPr="00AA6391">
        <w:rPr>
          <w:rFonts w:asciiTheme="minorHAnsi" w:hAnsiTheme="minorHAnsi" w:cstheme="minorHAnsi"/>
          <w:b/>
          <w:color w:val="0070C0"/>
          <w:sz w:val="24"/>
          <w:szCs w:val="24"/>
          <w:lang w:eastAsia="zh-CN"/>
        </w:rPr>
        <w:t>3.2</w:t>
      </w:r>
      <w:r w:rsidRPr="00AA6391">
        <w:rPr>
          <w:rFonts w:asciiTheme="minorHAnsi" w:hAnsiTheme="minorHAnsi" w:cstheme="minorHAnsi"/>
          <w:b/>
          <w:color w:val="0070C0"/>
          <w:sz w:val="24"/>
          <w:szCs w:val="24"/>
          <w:lang w:eastAsia="zh-CN"/>
        </w:rPr>
        <w:tab/>
        <w:t>Guidance on the impact of OREI on VTS</w:t>
      </w:r>
    </w:p>
    <w:p w14:paraId="0C4F4B67" w14:textId="77777777" w:rsidR="0098529E" w:rsidRPr="00AA6391" w:rsidRDefault="00000000">
      <w:pPr>
        <w:pStyle w:val="BodyText"/>
        <w:rPr>
          <w:rStyle w:val="BodyTextChar"/>
          <w:rFonts w:asciiTheme="minorHAnsi" w:hAnsiTheme="minorHAnsi" w:cstheme="minorHAnsi"/>
          <w:lang w:eastAsia="zh-CN"/>
        </w:rPr>
      </w:pPr>
      <w:r w:rsidRPr="00AA6391">
        <w:rPr>
          <w:rStyle w:val="BodyTextChar"/>
          <w:rFonts w:asciiTheme="minorHAnsi" w:hAnsiTheme="minorHAnsi" w:cstheme="minorHAnsi"/>
          <w:lang w:eastAsia="zh-CN"/>
        </w:rPr>
        <w:t xml:space="preserve">G1185 clearly states that VTS mitigates the impact of OREI on navigational safety and efficiency, but the impact of OREI on VTS equipment increases the difficulty of VTS monitoring, especially in internal OREI waters. Currently, IALA has not issued any guidance for the </w:t>
      </w:r>
      <w:r w:rsidRPr="00AA6391">
        <w:rPr>
          <w:rStyle w:val="BodyTextChar"/>
          <w:rFonts w:asciiTheme="minorHAnsi" w:hAnsiTheme="minorHAnsi" w:cstheme="minorHAnsi"/>
        </w:rPr>
        <w:t>C</w:t>
      </w:r>
      <w:r w:rsidRPr="00AA6391">
        <w:rPr>
          <w:rStyle w:val="BodyTextChar"/>
          <w:rFonts w:asciiTheme="minorHAnsi" w:hAnsiTheme="minorHAnsi" w:cstheme="minorHAnsi"/>
          <w:lang w:eastAsia="zh-CN"/>
        </w:rPr>
        <w:t xml:space="preserve">ompetent Authorities or VTS providers in responding to the impact of OREI on VTS equipment and navigational safety. </w:t>
      </w:r>
    </w:p>
    <w:p w14:paraId="0C4F4B68" w14:textId="77777777" w:rsidR="0098529E" w:rsidRPr="00AA6391" w:rsidRDefault="00000000">
      <w:pPr>
        <w:pStyle w:val="BodyText"/>
        <w:rPr>
          <w:rStyle w:val="BodyTextChar"/>
          <w:rFonts w:asciiTheme="minorHAnsi" w:hAnsiTheme="minorHAnsi" w:cstheme="minorHAnsi"/>
          <w:lang w:eastAsia="zh-CN"/>
        </w:rPr>
      </w:pPr>
      <w:r w:rsidRPr="00AA6391">
        <w:rPr>
          <w:rStyle w:val="BodyTextChar"/>
          <w:rFonts w:asciiTheme="minorHAnsi" w:hAnsiTheme="minorHAnsi" w:cstheme="minorHAnsi"/>
          <w:lang w:eastAsia="zh-CN"/>
        </w:rPr>
        <w:t xml:space="preserve">It is recommended that the VTS Committee establish guidelines on the impact of OREI on VTS in its 2028-2030 </w:t>
      </w:r>
      <w:r w:rsidRPr="00AA6391">
        <w:rPr>
          <w:rStyle w:val="BodyTextChar"/>
          <w:rFonts w:asciiTheme="minorHAnsi" w:hAnsiTheme="minorHAnsi" w:cstheme="minorHAnsi"/>
          <w:lang w:val="en-US" w:eastAsia="zh-CN"/>
        </w:rPr>
        <w:t>W</w:t>
      </w:r>
      <w:r w:rsidRPr="00AA6391">
        <w:rPr>
          <w:rStyle w:val="BodyTextChar"/>
          <w:rFonts w:asciiTheme="minorHAnsi" w:hAnsiTheme="minorHAnsi" w:cstheme="minorHAnsi"/>
          <w:lang w:eastAsia="zh-CN"/>
        </w:rPr>
        <w:t xml:space="preserve">ork </w:t>
      </w:r>
      <w:r w:rsidRPr="00AA6391">
        <w:rPr>
          <w:rStyle w:val="BodyTextChar"/>
          <w:rFonts w:asciiTheme="minorHAnsi" w:hAnsiTheme="minorHAnsi" w:cstheme="minorHAnsi"/>
          <w:lang w:val="en-US" w:eastAsia="zh-CN"/>
        </w:rPr>
        <w:t>P</w:t>
      </w:r>
      <w:r w:rsidRPr="00AA6391">
        <w:rPr>
          <w:rStyle w:val="BodyTextChar"/>
          <w:rFonts w:asciiTheme="minorHAnsi" w:hAnsiTheme="minorHAnsi" w:cstheme="minorHAnsi"/>
          <w:lang w:eastAsia="zh-CN"/>
        </w:rPr>
        <w:t xml:space="preserve">rogramme to </w:t>
      </w:r>
      <w:r w:rsidRPr="00AA6391">
        <w:rPr>
          <w:rStyle w:val="BodyTextChar"/>
          <w:rFonts w:asciiTheme="minorHAnsi" w:hAnsiTheme="minorHAnsi" w:cstheme="minorHAnsi"/>
        </w:rPr>
        <w:t>assist</w:t>
      </w:r>
      <w:r w:rsidRPr="00AA6391">
        <w:rPr>
          <w:rStyle w:val="BodyTextChar"/>
          <w:rFonts w:asciiTheme="minorHAnsi" w:hAnsiTheme="minorHAnsi" w:cstheme="minorHAnsi"/>
          <w:lang w:eastAsia="zh-CN"/>
        </w:rPr>
        <w:t xml:space="preserve"> </w:t>
      </w:r>
      <w:r w:rsidRPr="00AA6391">
        <w:rPr>
          <w:rStyle w:val="BodyTextChar"/>
          <w:rFonts w:asciiTheme="minorHAnsi" w:hAnsiTheme="minorHAnsi" w:cstheme="minorHAnsi"/>
        </w:rPr>
        <w:t>C</w:t>
      </w:r>
      <w:r w:rsidRPr="00AA6391">
        <w:rPr>
          <w:rStyle w:val="BodyTextChar"/>
          <w:rFonts w:asciiTheme="minorHAnsi" w:hAnsiTheme="minorHAnsi" w:cstheme="minorHAnsi"/>
          <w:lang w:eastAsia="zh-CN"/>
        </w:rPr>
        <w:t xml:space="preserve">ompetent </w:t>
      </w:r>
      <w:r w:rsidRPr="00AA6391">
        <w:rPr>
          <w:rStyle w:val="BodyTextChar"/>
          <w:rFonts w:asciiTheme="minorHAnsi" w:hAnsiTheme="minorHAnsi" w:cstheme="minorHAnsi"/>
        </w:rPr>
        <w:t>A</w:t>
      </w:r>
      <w:r w:rsidRPr="00AA6391">
        <w:rPr>
          <w:rStyle w:val="BodyTextChar"/>
          <w:rFonts w:asciiTheme="minorHAnsi" w:hAnsiTheme="minorHAnsi" w:cstheme="minorHAnsi"/>
          <w:lang w:eastAsia="zh-CN"/>
        </w:rPr>
        <w:t>uthorities or VTS providers in assessing the rationality of OREI site selection and the impact of OREI on VTS equipment. W</w:t>
      </w:r>
      <w:r w:rsidRPr="00AA6391">
        <w:rPr>
          <w:rStyle w:val="BodyTextChar"/>
          <w:rFonts w:asciiTheme="minorHAnsi" w:hAnsiTheme="minorHAnsi" w:cstheme="minorHAnsi"/>
        </w:rPr>
        <w:t>ith reference to the G1111 series of guideline</w:t>
      </w:r>
      <w:r w:rsidRPr="00AA6391">
        <w:rPr>
          <w:rStyle w:val="BodyTextChar"/>
          <w:rFonts w:asciiTheme="minorHAnsi" w:hAnsiTheme="minorHAnsi" w:cstheme="minorHAnsi"/>
          <w:lang w:eastAsia="zh-CN"/>
        </w:rPr>
        <w:t>s</w:t>
      </w:r>
      <w:r w:rsidRPr="00AA6391">
        <w:rPr>
          <w:rStyle w:val="BodyTextChar"/>
          <w:rFonts w:asciiTheme="minorHAnsi" w:hAnsiTheme="minorHAnsi" w:cstheme="minorHAnsi"/>
        </w:rPr>
        <w:t>,</w:t>
      </w:r>
      <w:r w:rsidRPr="00AA6391">
        <w:rPr>
          <w:rStyle w:val="BodyTextChar"/>
          <w:rFonts w:asciiTheme="minorHAnsi" w:hAnsiTheme="minorHAnsi" w:cstheme="minorHAnsi"/>
          <w:lang w:eastAsia="zh-CN"/>
        </w:rPr>
        <w:t xml:space="preserve"> r</w:t>
      </w:r>
      <w:r w:rsidRPr="00AA6391">
        <w:rPr>
          <w:rStyle w:val="BodyTextChar"/>
          <w:rFonts w:asciiTheme="minorHAnsi" w:hAnsiTheme="minorHAnsi" w:cstheme="minorHAnsi"/>
        </w:rPr>
        <w:t>ecommendations for remediation of equipment performance</w:t>
      </w:r>
      <w:r w:rsidRPr="00AA6391">
        <w:rPr>
          <w:rStyle w:val="BodyTextChar"/>
          <w:rFonts w:asciiTheme="minorHAnsi" w:hAnsiTheme="minorHAnsi" w:cstheme="minorHAnsi"/>
          <w:lang w:eastAsia="zh-CN"/>
        </w:rPr>
        <w:t xml:space="preserve"> should be proposed,</w:t>
      </w:r>
      <w:r w:rsidRPr="00AA6391">
        <w:rPr>
          <w:rStyle w:val="BodyTextChar"/>
          <w:rFonts w:asciiTheme="minorHAnsi" w:hAnsiTheme="minorHAnsi" w:cstheme="minorHAnsi"/>
        </w:rPr>
        <w:t xml:space="preserve"> a</w:t>
      </w:r>
      <w:r w:rsidRPr="00AA6391">
        <w:rPr>
          <w:rStyle w:val="BodyTextChar"/>
          <w:rFonts w:asciiTheme="minorHAnsi" w:hAnsiTheme="minorHAnsi" w:cstheme="minorHAnsi"/>
          <w:lang w:eastAsia="zh-CN"/>
        </w:rPr>
        <w:t>long with</w:t>
      </w:r>
      <w:r w:rsidRPr="00AA6391">
        <w:rPr>
          <w:rStyle w:val="BodyTextChar"/>
          <w:rFonts w:asciiTheme="minorHAnsi" w:hAnsiTheme="minorHAnsi" w:cstheme="minorHAnsi"/>
        </w:rPr>
        <w:t xml:space="preserve"> guidance for VTS provider</w:t>
      </w:r>
      <w:r w:rsidRPr="00AA6391">
        <w:rPr>
          <w:rStyle w:val="BodyTextChar"/>
          <w:rFonts w:asciiTheme="minorHAnsi" w:hAnsiTheme="minorHAnsi" w:cstheme="minorHAnsi"/>
          <w:lang w:eastAsia="zh-CN"/>
        </w:rPr>
        <w:t>s</w:t>
      </w:r>
      <w:r w:rsidRPr="00AA6391">
        <w:rPr>
          <w:rStyle w:val="BodyTextChar"/>
          <w:rFonts w:asciiTheme="minorHAnsi" w:hAnsiTheme="minorHAnsi" w:cstheme="minorHAnsi"/>
        </w:rPr>
        <w:t xml:space="preserve"> to ensure the safety and efficiency of navigation in the surrounding of OREI</w:t>
      </w:r>
      <w:r w:rsidRPr="00AA6391">
        <w:rPr>
          <w:rStyle w:val="BodyTextChar"/>
          <w:rFonts w:asciiTheme="minorHAnsi" w:hAnsiTheme="minorHAnsi" w:cstheme="minorHAnsi"/>
          <w:lang w:eastAsia="zh-CN"/>
        </w:rPr>
        <w:t>.</w:t>
      </w:r>
      <w:r w:rsidRPr="00AA6391">
        <w:rPr>
          <w:rFonts w:asciiTheme="minorHAnsi" w:hAnsiTheme="minorHAnsi" w:cstheme="minorHAnsi"/>
        </w:rPr>
        <w:t xml:space="preserve"> </w:t>
      </w:r>
      <w:r w:rsidRPr="00AA6391">
        <w:rPr>
          <w:rStyle w:val="BodyTextChar"/>
          <w:rFonts w:asciiTheme="minorHAnsi" w:hAnsiTheme="minorHAnsi" w:cstheme="minorHAnsi"/>
          <w:lang w:eastAsia="zh-CN"/>
        </w:rPr>
        <w:t>The specific task register is attached in Annex 2.</w:t>
      </w:r>
    </w:p>
    <w:p w14:paraId="0C4F4B69" w14:textId="77777777" w:rsidR="0098529E" w:rsidRPr="00AA6391" w:rsidRDefault="00000000">
      <w:pPr>
        <w:pStyle w:val="Heading1"/>
        <w:spacing w:line="400" w:lineRule="exact"/>
        <w:rPr>
          <w:rFonts w:asciiTheme="minorHAnsi" w:hAnsiTheme="minorHAnsi" w:cstheme="minorHAnsi"/>
          <w:lang w:eastAsia="zh-CN"/>
        </w:rPr>
      </w:pPr>
      <w:r w:rsidRPr="00AA6391">
        <w:rPr>
          <w:rFonts w:asciiTheme="minorHAnsi" w:hAnsiTheme="minorHAnsi" w:cstheme="minorHAnsi"/>
          <w:lang w:val="en-US" w:eastAsia="zh-CN"/>
        </w:rPr>
        <w:t>ACTION REQUESTED OF THE COMMITTEE</w:t>
      </w:r>
      <w:r w:rsidRPr="00AA6391">
        <w:rPr>
          <w:rFonts w:asciiTheme="minorHAnsi" w:hAnsiTheme="minorHAnsi" w:cstheme="minorHAnsi"/>
          <w:lang w:eastAsia="zh-CN"/>
        </w:rPr>
        <w:t xml:space="preserve"> </w:t>
      </w:r>
    </w:p>
    <w:p w14:paraId="0C4F4B6A" w14:textId="77777777" w:rsidR="0098529E" w:rsidRPr="00AA6391" w:rsidRDefault="00000000">
      <w:pPr>
        <w:pStyle w:val="BodyText"/>
        <w:rPr>
          <w:rFonts w:asciiTheme="minorHAnsi" w:hAnsiTheme="minorHAnsi" w:cstheme="minorHAnsi"/>
          <w:b/>
          <w:caps/>
          <w:color w:val="0070C0"/>
          <w:kern w:val="28"/>
          <w:sz w:val="24"/>
          <w:lang w:eastAsia="de-DE"/>
        </w:rPr>
      </w:pPr>
      <w:r w:rsidRPr="00AA6391">
        <w:rPr>
          <w:rFonts w:asciiTheme="minorHAnsi" w:hAnsiTheme="minorHAnsi" w:cstheme="minorHAnsi"/>
          <w:lang w:val="en-US"/>
        </w:rPr>
        <w:t>The Committee is requested to consider the proposals in this document and take actions as appropriate.</w:t>
      </w:r>
    </w:p>
    <w:p w14:paraId="0C4F4B6B" w14:textId="77777777" w:rsidR="0098529E" w:rsidRPr="00AA6391" w:rsidRDefault="0098529E">
      <w:pPr>
        <w:pStyle w:val="List1"/>
        <w:numPr>
          <w:ilvl w:val="0"/>
          <w:numId w:val="0"/>
        </w:numPr>
        <w:rPr>
          <w:rFonts w:asciiTheme="minorHAnsi" w:eastAsia="SimSun" w:hAnsiTheme="minorHAnsi" w:cstheme="minorHAnsi"/>
          <w:lang w:eastAsia="zh-CN"/>
        </w:rPr>
      </w:pPr>
    </w:p>
    <w:p w14:paraId="0C4F4B6C" w14:textId="77777777" w:rsidR="0098529E" w:rsidRPr="00AA6391" w:rsidRDefault="00000000">
      <w:pPr>
        <w:pStyle w:val="List1"/>
        <w:numPr>
          <w:ilvl w:val="0"/>
          <w:numId w:val="0"/>
        </w:numPr>
        <w:rPr>
          <w:rFonts w:asciiTheme="minorHAnsi" w:eastAsia="SimSun" w:hAnsiTheme="minorHAnsi" w:cstheme="minorHAnsi"/>
          <w:lang w:eastAsia="zh-CN"/>
        </w:rPr>
      </w:pPr>
      <w:r w:rsidRPr="00AA6391">
        <w:rPr>
          <w:rFonts w:asciiTheme="minorHAnsi" w:hAnsiTheme="minorHAnsi" w:cstheme="minorHAnsi"/>
          <w:b/>
          <w:caps/>
          <w:color w:val="0070C0"/>
          <w:kern w:val="28"/>
          <w:sz w:val="24"/>
          <w:lang w:val="en-US" w:eastAsia="zh-CN"/>
        </w:rPr>
        <w:t>5         ANNEX</w:t>
      </w:r>
    </w:p>
    <w:p w14:paraId="0C4F4B6D" w14:textId="77777777" w:rsidR="0098529E" w:rsidRPr="00AA6391" w:rsidRDefault="00000000">
      <w:pPr>
        <w:pStyle w:val="BodyText"/>
        <w:rPr>
          <w:rFonts w:asciiTheme="minorHAnsi" w:hAnsiTheme="minorHAnsi" w:cstheme="minorHAnsi"/>
          <w:lang w:val="en-US"/>
        </w:rPr>
      </w:pPr>
      <w:r w:rsidRPr="00AA6391">
        <w:rPr>
          <w:rFonts w:asciiTheme="minorHAnsi" w:hAnsiTheme="minorHAnsi" w:cstheme="minorHAnsi"/>
          <w:lang w:val="en-US"/>
        </w:rPr>
        <w:t xml:space="preserve">ANNEX 1 Draft revision of G1185 </w:t>
      </w:r>
    </w:p>
    <w:p w14:paraId="0C4F4B6E" w14:textId="77777777" w:rsidR="0098529E" w:rsidRPr="00AA6391" w:rsidRDefault="00000000">
      <w:pPr>
        <w:rPr>
          <w:rFonts w:asciiTheme="minorHAnsi" w:eastAsiaTheme="minorEastAsia" w:hAnsiTheme="minorHAnsi" w:cstheme="minorHAnsi"/>
          <w:color w:val="000000"/>
          <w:kern w:val="24"/>
          <w:sz w:val="28"/>
          <w:szCs w:val="28"/>
          <w:lang w:eastAsia="zh-CN" w:bidi="ar"/>
        </w:rPr>
      </w:pPr>
      <w:r w:rsidRPr="00AA6391">
        <w:rPr>
          <w:rFonts w:asciiTheme="minorHAnsi" w:hAnsiTheme="minorHAnsi" w:cstheme="minorHAnsi"/>
          <w:lang w:val="en-US"/>
        </w:rPr>
        <w:t xml:space="preserve">ANNEX </w:t>
      </w:r>
      <w:r w:rsidRPr="00AA6391">
        <w:rPr>
          <w:rFonts w:asciiTheme="minorHAnsi" w:hAnsiTheme="minorHAnsi" w:cstheme="minorHAnsi"/>
          <w:lang w:val="en-US" w:eastAsia="zh-CN"/>
        </w:rPr>
        <w:t>2 task register 2028-2030</w:t>
      </w:r>
    </w:p>
    <w:p w14:paraId="0C4F4B6F" w14:textId="77777777" w:rsidR="0098529E" w:rsidRPr="00AA6391" w:rsidRDefault="0098529E">
      <w:pPr>
        <w:rPr>
          <w:rFonts w:asciiTheme="minorHAnsi" w:hAnsiTheme="minorHAnsi" w:cstheme="minorHAnsi"/>
          <w:lang w:eastAsia="zh-CN"/>
        </w:rPr>
      </w:pPr>
    </w:p>
    <w:p w14:paraId="0C4F4B70" w14:textId="77777777" w:rsidR="0098529E" w:rsidRPr="00AA6391" w:rsidRDefault="0098529E">
      <w:pPr>
        <w:adjustRightInd w:val="0"/>
        <w:snapToGrid w:val="0"/>
        <w:spacing w:after="120"/>
        <w:ind w:leftChars="300" w:left="660"/>
        <w:jc w:val="both"/>
        <w:rPr>
          <w:rFonts w:asciiTheme="minorHAnsi" w:hAnsiTheme="minorHAnsi" w:cstheme="minorHAnsi"/>
          <w:sz w:val="21"/>
          <w:szCs w:val="21"/>
          <w:lang w:val="en-US" w:eastAsia="zh-CN"/>
        </w:rPr>
      </w:pPr>
    </w:p>
    <w:sectPr w:rsidR="0098529E" w:rsidRPr="00AA6391">
      <w:headerReference w:type="even" r:id="rId12"/>
      <w:headerReference w:type="default"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C7497" w14:textId="77777777" w:rsidR="00831197" w:rsidRDefault="00831197">
      <w:r>
        <w:separator/>
      </w:r>
    </w:p>
  </w:endnote>
  <w:endnote w:type="continuationSeparator" w:id="0">
    <w:p w14:paraId="67D90282" w14:textId="77777777" w:rsidR="00831197" w:rsidRDefault="00831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4B75" w14:textId="77777777" w:rsidR="0098529E" w:rsidRDefault="00000000">
    <w:pPr>
      <w:pStyle w:val="Footer"/>
      <w:jc w:val="left"/>
    </w:pPr>
    <w:r>
      <w:tab/>
    </w:r>
  </w:p>
  <w:p w14:paraId="0C4F4B76" w14:textId="77777777" w:rsidR="0098529E" w:rsidRDefault="00000000">
    <w:pPr>
      <w:pStyle w:val="Footer"/>
    </w:pPr>
    <w:r>
      <w:fldChar w:fldCharType="begin"/>
    </w:r>
    <w:r>
      <w:instrText xml:space="preserve"> PAGE   \* MERGEFORMAT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4B7A" w14:textId="77777777" w:rsidR="0098529E" w:rsidRDefault="00000000">
    <w:pPr>
      <w:pStyle w:val="Footer"/>
    </w:pPr>
    <w:r>
      <w:rPr>
        <w:rFonts w:hint="eastAsia"/>
      </w:rPr>
      <w:t>关于完善修订标准海事通信用语输出的建议</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DF2C1" w14:textId="77777777" w:rsidR="00831197" w:rsidRDefault="00831197">
      <w:r>
        <w:separator/>
      </w:r>
    </w:p>
  </w:footnote>
  <w:footnote w:type="continuationSeparator" w:id="0">
    <w:p w14:paraId="6466242B" w14:textId="77777777" w:rsidR="00831197" w:rsidRDefault="00831197">
      <w:r>
        <w:continuationSeparator/>
      </w:r>
    </w:p>
  </w:footnote>
  <w:footnote w:id="1">
    <w:p w14:paraId="0C4F4B82" w14:textId="77777777" w:rsidR="0098529E" w:rsidRDefault="00000000">
      <w:pPr>
        <w:pStyle w:val="FootnoteText"/>
        <w:rPr>
          <w:lang w:val="en-US"/>
        </w:rPr>
      </w:pPr>
      <w:r>
        <w:rPr>
          <w:rStyle w:val="FootnoteReference"/>
        </w:rPr>
        <w:footnoteRef/>
      </w:r>
      <w:r>
        <w:rPr>
          <w:sz w:val="16"/>
          <w:szCs w:val="16"/>
        </w:rPr>
        <w:t>Input document number, to be assigned by the Committee Secretary</w:t>
      </w:r>
    </w:p>
  </w:footnote>
  <w:footnote w:id="2">
    <w:p w14:paraId="0C4F4B83" w14:textId="77777777" w:rsidR="0098529E" w:rsidRDefault="00000000">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4B73" w14:textId="65C43F10" w:rsidR="0098529E" w:rsidRDefault="009852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4B74" w14:textId="34B42D38" w:rsidR="0098529E" w:rsidRDefault="00000000">
    <w:pPr>
      <w:pStyle w:val="Header"/>
      <w:rPr>
        <w:lang w:eastAsia="zh-CN"/>
      </w:rPr>
    </w:pPr>
    <w:r>
      <w:rPr>
        <w:noProof/>
        <w:lang w:val="en-US" w:eastAsia="zh-CN"/>
      </w:rPr>
      <w:drawing>
        <wp:anchor distT="0" distB="0" distL="114300" distR="114300" simplePos="0" relativeHeight="251663360" behindDoc="0" locked="0" layoutInCell="1" allowOverlap="1" wp14:anchorId="0C4F4B7C" wp14:editId="0C4F4B7D">
          <wp:simplePos x="0" y="0"/>
          <wp:positionH relativeFrom="column">
            <wp:posOffset>4675505</wp:posOffset>
          </wp:positionH>
          <wp:positionV relativeFrom="paragraph">
            <wp:posOffset>-423545</wp:posOffset>
          </wp:positionV>
          <wp:extent cx="574675" cy="560070"/>
          <wp:effectExtent l="0" t="0" r="0" b="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4B77" w14:textId="77777777" w:rsidR="0098529E" w:rsidRDefault="00000000">
    <w:pPr>
      <w:pStyle w:val="Header"/>
    </w:pPr>
    <w:r>
      <w:rPr>
        <w:noProof/>
        <w:lang w:val="en-US" w:eastAsia="zh-CN"/>
      </w:rPr>
      <w:drawing>
        <wp:anchor distT="0" distB="0" distL="114300" distR="114300" simplePos="0" relativeHeight="251659264" behindDoc="0" locked="0" layoutInCell="1" allowOverlap="1" wp14:anchorId="0C4F4B7F" wp14:editId="0C4F4B80">
          <wp:simplePos x="0" y="0"/>
          <wp:positionH relativeFrom="column">
            <wp:posOffset>4761230</wp:posOffset>
          </wp:positionH>
          <wp:positionV relativeFrom="paragraph">
            <wp:posOffset>-404495</wp:posOffset>
          </wp:positionV>
          <wp:extent cx="852805" cy="831215"/>
          <wp:effectExtent l="0" t="0" r="0" b="0"/>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p w14:paraId="0C4F4B78" w14:textId="77777777" w:rsidR="0098529E" w:rsidRDefault="0098529E">
    <w:pPr>
      <w:pStyle w:val="Header"/>
    </w:pPr>
  </w:p>
  <w:p w14:paraId="0C4F4B79" w14:textId="1CF45DEE" w:rsidR="0098529E" w:rsidRDefault="009852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A1740F"/>
    <w:multiLevelType w:val="multilevel"/>
    <w:tmpl w:val="19A1740F"/>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3119"/>
        </w:tabs>
        <w:ind w:left="3119"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BDD2160"/>
    <w:multiLevelType w:val="multilevel"/>
    <w:tmpl w:val="1BDD2160"/>
    <w:lvl w:ilvl="0">
      <w:start w:val="3"/>
      <w:numFmt w:val="bullet"/>
      <w:pStyle w:val="ListParagraph"/>
      <w:lvlText w:val="•"/>
      <w:lvlJc w:val="left"/>
      <w:pPr>
        <w:ind w:left="360" w:hanging="360"/>
      </w:pPr>
      <w:rPr>
        <w:rFonts w:ascii="SimSun" w:eastAsia="SimSun" w:hAnsi="SimSun" w:cs="SimSu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7"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2"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684479292">
    <w:abstractNumId w:val="3"/>
  </w:num>
  <w:num w:numId="2" w16cid:durableId="1481582791">
    <w:abstractNumId w:val="13"/>
  </w:num>
  <w:num w:numId="3" w16cid:durableId="83310206">
    <w:abstractNumId w:val="9"/>
  </w:num>
  <w:num w:numId="4" w16cid:durableId="796526694">
    <w:abstractNumId w:val="1"/>
  </w:num>
  <w:num w:numId="5" w16cid:durableId="1785923140">
    <w:abstractNumId w:val="15"/>
  </w:num>
  <w:num w:numId="6" w16cid:durableId="1636646015">
    <w:abstractNumId w:val="11"/>
  </w:num>
  <w:num w:numId="7" w16cid:durableId="711343584">
    <w:abstractNumId w:val="10"/>
  </w:num>
  <w:num w:numId="8" w16cid:durableId="1669477949">
    <w:abstractNumId w:val="8"/>
  </w:num>
  <w:num w:numId="9" w16cid:durableId="1708065867">
    <w:abstractNumId w:val="14"/>
  </w:num>
  <w:num w:numId="10" w16cid:durableId="1247611877">
    <w:abstractNumId w:val="7"/>
  </w:num>
  <w:num w:numId="11" w16cid:durableId="303242084">
    <w:abstractNumId w:val="12"/>
  </w:num>
  <w:num w:numId="12" w16cid:durableId="1473670060">
    <w:abstractNumId w:val="5"/>
  </w:num>
  <w:num w:numId="13" w16cid:durableId="245384455">
    <w:abstractNumId w:val="6"/>
  </w:num>
  <w:num w:numId="14" w16cid:durableId="988900361">
    <w:abstractNumId w:val="0"/>
  </w:num>
  <w:num w:numId="15" w16cid:durableId="1517114949">
    <w:abstractNumId w:val="4"/>
  </w:num>
  <w:num w:numId="16" w16cid:durableId="12804574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10"/>
  <w:drawingGridVerticalSpacing w:val="156"/>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ZlYjA5YWQ1NDJkYzA4MTI0MzFmMjYyOTRlNmI1YTIifQ=="/>
  </w:docVars>
  <w:rsids>
    <w:rsidRoot w:val="00172A27"/>
    <w:rsid w:val="000005B9"/>
    <w:rsid w:val="000005D3"/>
    <w:rsid w:val="000009D2"/>
    <w:rsid w:val="00001248"/>
    <w:rsid w:val="0000363F"/>
    <w:rsid w:val="000049D8"/>
    <w:rsid w:val="0000551F"/>
    <w:rsid w:val="00005A0E"/>
    <w:rsid w:val="00006D1F"/>
    <w:rsid w:val="00014EA3"/>
    <w:rsid w:val="00015B8C"/>
    <w:rsid w:val="000161A7"/>
    <w:rsid w:val="00017359"/>
    <w:rsid w:val="00020EC8"/>
    <w:rsid w:val="00023240"/>
    <w:rsid w:val="00023B8C"/>
    <w:rsid w:val="00024727"/>
    <w:rsid w:val="000261C7"/>
    <w:rsid w:val="00026A91"/>
    <w:rsid w:val="00026F9F"/>
    <w:rsid w:val="00027685"/>
    <w:rsid w:val="00030005"/>
    <w:rsid w:val="000325DB"/>
    <w:rsid w:val="00033AEF"/>
    <w:rsid w:val="00036A03"/>
    <w:rsid w:val="00036B9E"/>
    <w:rsid w:val="00037DF4"/>
    <w:rsid w:val="000437D2"/>
    <w:rsid w:val="0004700E"/>
    <w:rsid w:val="00050095"/>
    <w:rsid w:val="0005519B"/>
    <w:rsid w:val="00060722"/>
    <w:rsid w:val="00060F49"/>
    <w:rsid w:val="00062BED"/>
    <w:rsid w:val="00067E75"/>
    <w:rsid w:val="00070C13"/>
    <w:rsid w:val="000715C9"/>
    <w:rsid w:val="000755BB"/>
    <w:rsid w:val="00081740"/>
    <w:rsid w:val="000849F6"/>
    <w:rsid w:val="00084F33"/>
    <w:rsid w:val="000862BD"/>
    <w:rsid w:val="000913B2"/>
    <w:rsid w:val="00093F59"/>
    <w:rsid w:val="000964B9"/>
    <w:rsid w:val="000A2699"/>
    <w:rsid w:val="000A2C58"/>
    <w:rsid w:val="000A77A7"/>
    <w:rsid w:val="000B1707"/>
    <w:rsid w:val="000B5785"/>
    <w:rsid w:val="000B5824"/>
    <w:rsid w:val="000B5A11"/>
    <w:rsid w:val="000B5AB5"/>
    <w:rsid w:val="000B6817"/>
    <w:rsid w:val="000C1B3E"/>
    <w:rsid w:val="000C349E"/>
    <w:rsid w:val="000C4654"/>
    <w:rsid w:val="000C55B7"/>
    <w:rsid w:val="000C65DE"/>
    <w:rsid w:val="000C7CF6"/>
    <w:rsid w:val="000D05A2"/>
    <w:rsid w:val="000D4F4A"/>
    <w:rsid w:val="000D5BA6"/>
    <w:rsid w:val="000D6E23"/>
    <w:rsid w:val="000D7843"/>
    <w:rsid w:val="000E10FF"/>
    <w:rsid w:val="000E4617"/>
    <w:rsid w:val="000F1813"/>
    <w:rsid w:val="000F5F7C"/>
    <w:rsid w:val="001004BD"/>
    <w:rsid w:val="001032D7"/>
    <w:rsid w:val="0010432E"/>
    <w:rsid w:val="00105181"/>
    <w:rsid w:val="0010632C"/>
    <w:rsid w:val="00106CB6"/>
    <w:rsid w:val="0010794C"/>
    <w:rsid w:val="00110AE7"/>
    <w:rsid w:val="00112049"/>
    <w:rsid w:val="001150AA"/>
    <w:rsid w:val="001167D6"/>
    <w:rsid w:val="00116E47"/>
    <w:rsid w:val="00117955"/>
    <w:rsid w:val="00121A00"/>
    <w:rsid w:val="00122B7E"/>
    <w:rsid w:val="0012364C"/>
    <w:rsid w:val="00123B1C"/>
    <w:rsid w:val="00131753"/>
    <w:rsid w:val="00136942"/>
    <w:rsid w:val="00140936"/>
    <w:rsid w:val="001415CB"/>
    <w:rsid w:val="00144103"/>
    <w:rsid w:val="00145D6F"/>
    <w:rsid w:val="00146291"/>
    <w:rsid w:val="00146E5F"/>
    <w:rsid w:val="00152577"/>
    <w:rsid w:val="00154261"/>
    <w:rsid w:val="001543BA"/>
    <w:rsid w:val="00155537"/>
    <w:rsid w:val="001570DD"/>
    <w:rsid w:val="00157526"/>
    <w:rsid w:val="00165242"/>
    <w:rsid w:val="00165EEE"/>
    <w:rsid w:val="00166747"/>
    <w:rsid w:val="0017058E"/>
    <w:rsid w:val="00172A27"/>
    <w:rsid w:val="00177F4D"/>
    <w:rsid w:val="00180DDA"/>
    <w:rsid w:val="00186928"/>
    <w:rsid w:val="00186F92"/>
    <w:rsid w:val="00187385"/>
    <w:rsid w:val="001906E1"/>
    <w:rsid w:val="00193B28"/>
    <w:rsid w:val="00194BBB"/>
    <w:rsid w:val="001A2B0A"/>
    <w:rsid w:val="001A3503"/>
    <w:rsid w:val="001A46E7"/>
    <w:rsid w:val="001A55D0"/>
    <w:rsid w:val="001A5903"/>
    <w:rsid w:val="001A6E43"/>
    <w:rsid w:val="001A7CF0"/>
    <w:rsid w:val="001B2A2D"/>
    <w:rsid w:val="001B2C12"/>
    <w:rsid w:val="001B737D"/>
    <w:rsid w:val="001C44A3"/>
    <w:rsid w:val="001C59C4"/>
    <w:rsid w:val="001C5FE4"/>
    <w:rsid w:val="001C7860"/>
    <w:rsid w:val="001D1413"/>
    <w:rsid w:val="001D1774"/>
    <w:rsid w:val="001D1ADE"/>
    <w:rsid w:val="001D438A"/>
    <w:rsid w:val="001E0E15"/>
    <w:rsid w:val="001F175F"/>
    <w:rsid w:val="001F3A00"/>
    <w:rsid w:val="001F528A"/>
    <w:rsid w:val="001F5767"/>
    <w:rsid w:val="001F704E"/>
    <w:rsid w:val="00201722"/>
    <w:rsid w:val="002022E9"/>
    <w:rsid w:val="00203304"/>
    <w:rsid w:val="00203DEC"/>
    <w:rsid w:val="002055CA"/>
    <w:rsid w:val="0021231F"/>
    <w:rsid w:val="002125B0"/>
    <w:rsid w:val="002133A5"/>
    <w:rsid w:val="002147BB"/>
    <w:rsid w:val="00216068"/>
    <w:rsid w:val="00217363"/>
    <w:rsid w:val="00223442"/>
    <w:rsid w:val="002235D3"/>
    <w:rsid w:val="00223E08"/>
    <w:rsid w:val="0022577B"/>
    <w:rsid w:val="002266C8"/>
    <w:rsid w:val="00230755"/>
    <w:rsid w:val="002400A1"/>
    <w:rsid w:val="00243228"/>
    <w:rsid w:val="00245CEE"/>
    <w:rsid w:val="00251483"/>
    <w:rsid w:val="00251853"/>
    <w:rsid w:val="00255CAA"/>
    <w:rsid w:val="00257917"/>
    <w:rsid w:val="0026005A"/>
    <w:rsid w:val="00264305"/>
    <w:rsid w:val="0026630D"/>
    <w:rsid w:val="00272C07"/>
    <w:rsid w:val="002735C4"/>
    <w:rsid w:val="0027436F"/>
    <w:rsid w:val="002743F9"/>
    <w:rsid w:val="0028492C"/>
    <w:rsid w:val="00291504"/>
    <w:rsid w:val="002936B7"/>
    <w:rsid w:val="00294A01"/>
    <w:rsid w:val="00295BD3"/>
    <w:rsid w:val="002A0346"/>
    <w:rsid w:val="002A25F6"/>
    <w:rsid w:val="002A4487"/>
    <w:rsid w:val="002A4BB6"/>
    <w:rsid w:val="002A735E"/>
    <w:rsid w:val="002B03E0"/>
    <w:rsid w:val="002B13C6"/>
    <w:rsid w:val="002B2313"/>
    <w:rsid w:val="002B44FA"/>
    <w:rsid w:val="002B49E9"/>
    <w:rsid w:val="002B6125"/>
    <w:rsid w:val="002B7FF5"/>
    <w:rsid w:val="002C2A78"/>
    <w:rsid w:val="002C3E48"/>
    <w:rsid w:val="002C4E67"/>
    <w:rsid w:val="002C632E"/>
    <w:rsid w:val="002D08D4"/>
    <w:rsid w:val="002D11A0"/>
    <w:rsid w:val="002D3833"/>
    <w:rsid w:val="002D3E29"/>
    <w:rsid w:val="002D3E8B"/>
    <w:rsid w:val="002D4575"/>
    <w:rsid w:val="002D462F"/>
    <w:rsid w:val="002D5C0C"/>
    <w:rsid w:val="002E03D1"/>
    <w:rsid w:val="002E0672"/>
    <w:rsid w:val="002E3421"/>
    <w:rsid w:val="002E6B74"/>
    <w:rsid w:val="002E6FCA"/>
    <w:rsid w:val="002F1108"/>
    <w:rsid w:val="002F4D39"/>
    <w:rsid w:val="002F7FD0"/>
    <w:rsid w:val="00303112"/>
    <w:rsid w:val="003039D6"/>
    <w:rsid w:val="003044E5"/>
    <w:rsid w:val="003051E9"/>
    <w:rsid w:val="00307792"/>
    <w:rsid w:val="003163E1"/>
    <w:rsid w:val="003168D6"/>
    <w:rsid w:val="003321F8"/>
    <w:rsid w:val="00336AC9"/>
    <w:rsid w:val="00337C95"/>
    <w:rsid w:val="00337E5F"/>
    <w:rsid w:val="003404D2"/>
    <w:rsid w:val="00340C1A"/>
    <w:rsid w:val="0034276A"/>
    <w:rsid w:val="003439CB"/>
    <w:rsid w:val="003449D5"/>
    <w:rsid w:val="00352360"/>
    <w:rsid w:val="00352B95"/>
    <w:rsid w:val="00356CD0"/>
    <w:rsid w:val="003570EC"/>
    <w:rsid w:val="00360EEC"/>
    <w:rsid w:val="00362CD9"/>
    <w:rsid w:val="00364462"/>
    <w:rsid w:val="0036483A"/>
    <w:rsid w:val="00364BEA"/>
    <w:rsid w:val="003660CA"/>
    <w:rsid w:val="003729CB"/>
    <w:rsid w:val="003761CA"/>
    <w:rsid w:val="00376754"/>
    <w:rsid w:val="00380617"/>
    <w:rsid w:val="00380DAF"/>
    <w:rsid w:val="003825BC"/>
    <w:rsid w:val="003961F6"/>
    <w:rsid w:val="003972CE"/>
    <w:rsid w:val="003A3582"/>
    <w:rsid w:val="003A7866"/>
    <w:rsid w:val="003B28F5"/>
    <w:rsid w:val="003B3755"/>
    <w:rsid w:val="003B39B0"/>
    <w:rsid w:val="003B4A60"/>
    <w:rsid w:val="003B73A7"/>
    <w:rsid w:val="003B7B7D"/>
    <w:rsid w:val="003C54CB"/>
    <w:rsid w:val="003C59EE"/>
    <w:rsid w:val="003C7A2A"/>
    <w:rsid w:val="003D0BD9"/>
    <w:rsid w:val="003D0C92"/>
    <w:rsid w:val="003D191A"/>
    <w:rsid w:val="003D29EA"/>
    <w:rsid w:val="003D2DC1"/>
    <w:rsid w:val="003D3B23"/>
    <w:rsid w:val="003D697E"/>
    <w:rsid w:val="003D69D0"/>
    <w:rsid w:val="003E36CE"/>
    <w:rsid w:val="003E51F2"/>
    <w:rsid w:val="003E7CFE"/>
    <w:rsid w:val="003F0024"/>
    <w:rsid w:val="003F2918"/>
    <w:rsid w:val="003F430E"/>
    <w:rsid w:val="003F5EE6"/>
    <w:rsid w:val="003F617B"/>
    <w:rsid w:val="00401821"/>
    <w:rsid w:val="00402A26"/>
    <w:rsid w:val="004057B1"/>
    <w:rsid w:val="00406ED1"/>
    <w:rsid w:val="004074EC"/>
    <w:rsid w:val="0041088C"/>
    <w:rsid w:val="00410FE9"/>
    <w:rsid w:val="00412DD0"/>
    <w:rsid w:val="0041609D"/>
    <w:rsid w:val="00416F10"/>
    <w:rsid w:val="00417C7E"/>
    <w:rsid w:val="00420A38"/>
    <w:rsid w:val="00421DEC"/>
    <w:rsid w:val="004259E7"/>
    <w:rsid w:val="00426478"/>
    <w:rsid w:val="004308EC"/>
    <w:rsid w:val="00431B19"/>
    <w:rsid w:val="00436E26"/>
    <w:rsid w:val="0044162D"/>
    <w:rsid w:val="004452EA"/>
    <w:rsid w:val="00456049"/>
    <w:rsid w:val="00460791"/>
    <w:rsid w:val="004609EA"/>
    <w:rsid w:val="00460C6C"/>
    <w:rsid w:val="004655DA"/>
    <w:rsid w:val="004661AD"/>
    <w:rsid w:val="00472372"/>
    <w:rsid w:val="00472B26"/>
    <w:rsid w:val="00473EA3"/>
    <w:rsid w:val="00480076"/>
    <w:rsid w:val="00482A27"/>
    <w:rsid w:val="00483681"/>
    <w:rsid w:val="00484E9F"/>
    <w:rsid w:val="00493218"/>
    <w:rsid w:val="004978E5"/>
    <w:rsid w:val="004A65F3"/>
    <w:rsid w:val="004A6C1D"/>
    <w:rsid w:val="004A6E4B"/>
    <w:rsid w:val="004B022D"/>
    <w:rsid w:val="004B60B3"/>
    <w:rsid w:val="004C09C5"/>
    <w:rsid w:val="004D1D85"/>
    <w:rsid w:val="004D2EAB"/>
    <w:rsid w:val="004D3B0E"/>
    <w:rsid w:val="004D3C3A"/>
    <w:rsid w:val="004D565D"/>
    <w:rsid w:val="004E1C2D"/>
    <w:rsid w:val="004E1CD1"/>
    <w:rsid w:val="004E4602"/>
    <w:rsid w:val="004E7435"/>
    <w:rsid w:val="004F03EE"/>
    <w:rsid w:val="004F2AF8"/>
    <w:rsid w:val="004F47B0"/>
    <w:rsid w:val="004F7EC0"/>
    <w:rsid w:val="004F7EFC"/>
    <w:rsid w:val="0050552C"/>
    <w:rsid w:val="00505CFF"/>
    <w:rsid w:val="00507558"/>
    <w:rsid w:val="00507990"/>
    <w:rsid w:val="005107EB"/>
    <w:rsid w:val="00512AA0"/>
    <w:rsid w:val="00515002"/>
    <w:rsid w:val="00516249"/>
    <w:rsid w:val="005162B7"/>
    <w:rsid w:val="00520707"/>
    <w:rsid w:val="005208B9"/>
    <w:rsid w:val="00521345"/>
    <w:rsid w:val="00526DF0"/>
    <w:rsid w:val="00527ACB"/>
    <w:rsid w:val="00527B0D"/>
    <w:rsid w:val="00527EC7"/>
    <w:rsid w:val="005305F1"/>
    <w:rsid w:val="00530F05"/>
    <w:rsid w:val="005411C2"/>
    <w:rsid w:val="005416E8"/>
    <w:rsid w:val="00542503"/>
    <w:rsid w:val="00545BEB"/>
    <w:rsid w:val="00545CC4"/>
    <w:rsid w:val="00550149"/>
    <w:rsid w:val="00551FFF"/>
    <w:rsid w:val="0055549A"/>
    <w:rsid w:val="00555801"/>
    <w:rsid w:val="00556CAF"/>
    <w:rsid w:val="005607A2"/>
    <w:rsid w:val="00566309"/>
    <w:rsid w:val="00566B9F"/>
    <w:rsid w:val="00567247"/>
    <w:rsid w:val="0057198B"/>
    <w:rsid w:val="00571DC2"/>
    <w:rsid w:val="00573C8C"/>
    <w:rsid w:val="00573CFE"/>
    <w:rsid w:val="0057414A"/>
    <w:rsid w:val="00576167"/>
    <w:rsid w:val="00576FB4"/>
    <w:rsid w:val="00581635"/>
    <w:rsid w:val="005879B8"/>
    <w:rsid w:val="00587D7B"/>
    <w:rsid w:val="00590DC4"/>
    <w:rsid w:val="0059631F"/>
    <w:rsid w:val="0059686D"/>
    <w:rsid w:val="005969F2"/>
    <w:rsid w:val="00596A92"/>
    <w:rsid w:val="00597FAE"/>
    <w:rsid w:val="005A1924"/>
    <w:rsid w:val="005A71CC"/>
    <w:rsid w:val="005B028C"/>
    <w:rsid w:val="005B1DAF"/>
    <w:rsid w:val="005B2DFB"/>
    <w:rsid w:val="005B32A3"/>
    <w:rsid w:val="005B3DDC"/>
    <w:rsid w:val="005B5802"/>
    <w:rsid w:val="005B59A1"/>
    <w:rsid w:val="005B75AA"/>
    <w:rsid w:val="005C0D44"/>
    <w:rsid w:val="005C3C55"/>
    <w:rsid w:val="005C566C"/>
    <w:rsid w:val="005C5EB4"/>
    <w:rsid w:val="005C5EE6"/>
    <w:rsid w:val="005C6ADA"/>
    <w:rsid w:val="005C6ECB"/>
    <w:rsid w:val="005C7E69"/>
    <w:rsid w:val="005E262D"/>
    <w:rsid w:val="005F06D0"/>
    <w:rsid w:val="005F0E60"/>
    <w:rsid w:val="005F23D3"/>
    <w:rsid w:val="005F57A7"/>
    <w:rsid w:val="005F5D9E"/>
    <w:rsid w:val="005F7E20"/>
    <w:rsid w:val="006009A6"/>
    <w:rsid w:val="00601343"/>
    <w:rsid w:val="0060225B"/>
    <w:rsid w:val="00605097"/>
    <w:rsid w:val="00605E43"/>
    <w:rsid w:val="006101D6"/>
    <w:rsid w:val="00614B0B"/>
    <w:rsid w:val="00614D49"/>
    <w:rsid w:val="006153BB"/>
    <w:rsid w:val="006167C7"/>
    <w:rsid w:val="0062164B"/>
    <w:rsid w:val="00621692"/>
    <w:rsid w:val="00622759"/>
    <w:rsid w:val="006233FB"/>
    <w:rsid w:val="006327DE"/>
    <w:rsid w:val="00634707"/>
    <w:rsid w:val="00635043"/>
    <w:rsid w:val="006442A0"/>
    <w:rsid w:val="006461C5"/>
    <w:rsid w:val="00646C4A"/>
    <w:rsid w:val="006479B3"/>
    <w:rsid w:val="00656965"/>
    <w:rsid w:val="00657A30"/>
    <w:rsid w:val="006652C3"/>
    <w:rsid w:val="00665D6F"/>
    <w:rsid w:val="00672065"/>
    <w:rsid w:val="00683180"/>
    <w:rsid w:val="00691FD0"/>
    <w:rsid w:val="00692148"/>
    <w:rsid w:val="00692F76"/>
    <w:rsid w:val="006946C7"/>
    <w:rsid w:val="00696153"/>
    <w:rsid w:val="006A0C0F"/>
    <w:rsid w:val="006A1A1E"/>
    <w:rsid w:val="006A35DC"/>
    <w:rsid w:val="006A3BEC"/>
    <w:rsid w:val="006A7592"/>
    <w:rsid w:val="006B3500"/>
    <w:rsid w:val="006C0A05"/>
    <w:rsid w:val="006C2425"/>
    <w:rsid w:val="006C3E7B"/>
    <w:rsid w:val="006C43F8"/>
    <w:rsid w:val="006C494D"/>
    <w:rsid w:val="006C5948"/>
    <w:rsid w:val="006C6DE0"/>
    <w:rsid w:val="006D7CFD"/>
    <w:rsid w:val="006E581F"/>
    <w:rsid w:val="006F0886"/>
    <w:rsid w:val="006F129E"/>
    <w:rsid w:val="006F1F7F"/>
    <w:rsid w:val="006F1FFC"/>
    <w:rsid w:val="006F2A74"/>
    <w:rsid w:val="006F33F9"/>
    <w:rsid w:val="006F45BA"/>
    <w:rsid w:val="007000D4"/>
    <w:rsid w:val="007059AF"/>
    <w:rsid w:val="007071B2"/>
    <w:rsid w:val="007118F5"/>
    <w:rsid w:val="00712AA4"/>
    <w:rsid w:val="007146C4"/>
    <w:rsid w:val="0071478B"/>
    <w:rsid w:val="007170B6"/>
    <w:rsid w:val="0072014C"/>
    <w:rsid w:val="00721AA1"/>
    <w:rsid w:val="00724B67"/>
    <w:rsid w:val="007313E3"/>
    <w:rsid w:val="00732AFD"/>
    <w:rsid w:val="00732F1A"/>
    <w:rsid w:val="007338C3"/>
    <w:rsid w:val="007339D9"/>
    <w:rsid w:val="00734CC0"/>
    <w:rsid w:val="00734E42"/>
    <w:rsid w:val="00735D4F"/>
    <w:rsid w:val="00740358"/>
    <w:rsid w:val="00746030"/>
    <w:rsid w:val="007518E4"/>
    <w:rsid w:val="007547F8"/>
    <w:rsid w:val="00755F7F"/>
    <w:rsid w:val="00756B96"/>
    <w:rsid w:val="00760D12"/>
    <w:rsid w:val="007612F2"/>
    <w:rsid w:val="00765622"/>
    <w:rsid w:val="007660F7"/>
    <w:rsid w:val="00766E9E"/>
    <w:rsid w:val="00770B6C"/>
    <w:rsid w:val="00771C27"/>
    <w:rsid w:val="0077339A"/>
    <w:rsid w:val="00773AE4"/>
    <w:rsid w:val="00782969"/>
    <w:rsid w:val="00783FEA"/>
    <w:rsid w:val="007857C6"/>
    <w:rsid w:val="00790961"/>
    <w:rsid w:val="007943C5"/>
    <w:rsid w:val="00796FBC"/>
    <w:rsid w:val="007A159B"/>
    <w:rsid w:val="007A395D"/>
    <w:rsid w:val="007B12A2"/>
    <w:rsid w:val="007B4A12"/>
    <w:rsid w:val="007B6BD5"/>
    <w:rsid w:val="007C06E8"/>
    <w:rsid w:val="007C209D"/>
    <w:rsid w:val="007C31E4"/>
    <w:rsid w:val="007C346C"/>
    <w:rsid w:val="007C4498"/>
    <w:rsid w:val="007C700A"/>
    <w:rsid w:val="007D169B"/>
    <w:rsid w:val="007D26F9"/>
    <w:rsid w:val="007D35E1"/>
    <w:rsid w:val="007D3E57"/>
    <w:rsid w:val="007D3EBC"/>
    <w:rsid w:val="007D5E84"/>
    <w:rsid w:val="007E21F1"/>
    <w:rsid w:val="007E2806"/>
    <w:rsid w:val="007E303A"/>
    <w:rsid w:val="007E6479"/>
    <w:rsid w:val="007F3D80"/>
    <w:rsid w:val="007F4021"/>
    <w:rsid w:val="008008EB"/>
    <w:rsid w:val="00800E25"/>
    <w:rsid w:val="00801C8E"/>
    <w:rsid w:val="0080294B"/>
    <w:rsid w:val="008032DF"/>
    <w:rsid w:val="0080462C"/>
    <w:rsid w:val="00812AC1"/>
    <w:rsid w:val="00822AC5"/>
    <w:rsid w:val="008237CE"/>
    <w:rsid w:val="0082480E"/>
    <w:rsid w:val="00824DE5"/>
    <w:rsid w:val="0082556B"/>
    <w:rsid w:val="00830334"/>
    <w:rsid w:val="00831197"/>
    <w:rsid w:val="0083669D"/>
    <w:rsid w:val="008430F8"/>
    <w:rsid w:val="00843223"/>
    <w:rsid w:val="00843330"/>
    <w:rsid w:val="00844C89"/>
    <w:rsid w:val="00850293"/>
    <w:rsid w:val="00851373"/>
    <w:rsid w:val="00851820"/>
    <w:rsid w:val="00851BA6"/>
    <w:rsid w:val="0085654D"/>
    <w:rsid w:val="0086096D"/>
    <w:rsid w:val="00861160"/>
    <w:rsid w:val="008613E7"/>
    <w:rsid w:val="008633DD"/>
    <w:rsid w:val="00863FF7"/>
    <w:rsid w:val="0086654F"/>
    <w:rsid w:val="00872F73"/>
    <w:rsid w:val="008730C3"/>
    <w:rsid w:val="00873F6A"/>
    <w:rsid w:val="00874D88"/>
    <w:rsid w:val="00876C74"/>
    <w:rsid w:val="00880EAB"/>
    <w:rsid w:val="00881D59"/>
    <w:rsid w:val="0088227B"/>
    <w:rsid w:val="00893C4A"/>
    <w:rsid w:val="00896AE6"/>
    <w:rsid w:val="008A0DA2"/>
    <w:rsid w:val="008A3564"/>
    <w:rsid w:val="008A356F"/>
    <w:rsid w:val="008A3EB3"/>
    <w:rsid w:val="008A4653"/>
    <w:rsid w:val="008A4717"/>
    <w:rsid w:val="008A50CC"/>
    <w:rsid w:val="008A65E8"/>
    <w:rsid w:val="008B12C9"/>
    <w:rsid w:val="008B3040"/>
    <w:rsid w:val="008B3AE7"/>
    <w:rsid w:val="008B4B17"/>
    <w:rsid w:val="008B5E0E"/>
    <w:rsid w:val="008B6C58"/>
    <w:rsid w:val="008B6CF9"/>
    <w:rsid w:val="008C3934"/>
    <w:rsid w:val="008C51F1"/>
    <w:rsid w:val="008C7F77"/>
    <w:rsid w:val="008D1694"/>
    <w:rsid w:val="008D1C28"/>
    <w:rsid w:val="008D5594"/>
    <w:rsid w:val="008D7628"/>
    <w:rsid w:val="008D79CB"/>
    <w:rsid w:val="008E24C0"/>
    <w:rsid w:val="008E3811"/>
    <w:rsid w:val="008E64E7"/>
    <w:rsid w:val="008E7BE5"/>
    <w:rsid w:val="008F07BC"/>
    <w:rsid w:val="008F394D"/>
    <w:rsid w:val="008F71AC"/>
    <w:rsid w:val="008F741B"/>
    <w:rsid w:val="00900556"/>
    <w:rsid w:val="00905A83"/>
    <w:rsid w:val="00906EDE"/>
    <w:rsid w:val="009108F8"/>
    <w:rsid w:val="00911223"/>
    <w:rsid w:val="00911DF2"/>
    <w:rsid w:val="0091292D"/>
    <w:rsid w:val="00913379"/>
    <w:rsid w:val="009137A1"/>
    <w:rsid w:val="009146BA"/>
    <w:rsid w:val="00922598"/>
    <w:rsid w:val="00922B95"/>
    <w:rsid w:val="00925F87"/>
    <w:rsid w:val="0092692B"/>
    <w:rsid w:val="00926FBC"/>
    <w:rsid w:val="00930561"/>
    <w:rsid w:val="0093177B"/>
    <w:rsid w:val="009332DB"/>
    <w:rsid w:val="009337E3"/>
    <w:rsid w:val="00933C5F"/>
    <w:rsid w:val="00937BD9"/>
    <w:rsid w:val="00943E9C"/>
    <w:rsid w:val="0094436F"/>
    <w:rsid w:val="00945E38"/>
    <w:rsid w:val="009531C5"/>
    <w:rsid w:val="00953F4D"/>
    <w:rsid w:val="00960BB8"/>
    <w:rsid w:val="00961DCF"/>
    <w:rsid w:val="00962131"/>
    <w:rsid w:val="00963404"/>
    <w:rsid w:val="009635E3"/>
    <w:rsid w:val="00964F5C"/>
    <w:rsid w:val="00965A41"/>
    <w:rsid w:val="00967361"/>
    <w:rsid w:val="0096742B"/>
    <w:rsid w:val="009678FA"/>
    <w:rsid w:val="00971887"/>
    <w:rsid w:val="00973316"/>
    <w:rsid w:val="00973B57"/>
    <w:rsid w:val="0097437D"/>
    <w:rsid w:val="00975900"/>
    <w:rsid w:val="00977766"/>
    <w:rsid w:val="009812B5"/>
    <w:rsid w:val="009823E3"/>
    <w:rsid w:val="009831C0"/>
    <w:rsid w:val="0098420C"/>
    <w:rsid w:val="0098426D"/>
    <w:rsid w:val="0098529E"/>
    <w:rsid w:val="00986DF1"/>
    <w:rsid w:val="0099161D"/>
    <w:rsid w:val="00991A54"/>
    <w:rsid w:val="00993DB9"/>
    <w:rsid w:val="00997E9C"/>
    <w:rsid w:val="009B265E"/>
    <w:rsid w:val="009B7AA1"/>
    <w:rsid w:val="009C34A2"/>
    <w:rsid w:val="009C41FF"/>
    <w:rsid w:val="009C543F"/>
    <w:rsid w:val="009C5912"/>
    <w:rsid w:val="009C6123"/>
    <w:rsid w:val="009D6AA6"/>
    <w:rsid w:val="009E156D"/>
    <w:rsid w:val="009E4979"/>
    <w:rsid w:val="009E65F2"/>
    <w:rsid w:val="009F41B3"/>
    <w:rsid w:val="00A0389B"/>
    <w:rsid w:val="00A05DBF"/>
    <w:rsid w:val="00A14648"/>
    <w:rsid w:val="00A17AA5"/>
    <w:rsid w:val="00A23C24"/>
    <w:rsid w:val="00A30B8E"/>
    <w:rsid w:val="00A31FC2"/>
    <w:rsid w:val="00A33583"/>
    <w:rsid w:val="00A33A3C"/>
    <w:rsid w:val="00A3483C"/>
    <w:rsid w:val="00A44490"/>
    <w:rsid w:val="00A446C9"/>
    <w:rsid w:val="00A464CC"/>
    <w:rsid w:val="00A50053"/>
    <w:rsid w:val="00A523DD"/>
    <w:rsid w:val="00A52B7D"/>
    <w:rsid w:val="00A5410E"/>
    <w:rsid w:val="00A54603"/>
    <w:rsid w:val="00A57169"/>
    <w:rsid w:val="00A624EA"/>
    <w:rsid w:val="00A635D6"/>
    <w:rsid w:val="00A67DBA"/>
    <w:rsid w:val="00A709C8"/>
    <w:rsid w:val="00A70DBE"/>
    <w:rsid w:val="00A7375D"/>
    <w:rsid w:val="00A7468B"/>
    <w:rsid w:val="00A777C1"/>
    <w:rsid w:val="00A81D89"/>
    <w:rsid w:val="00A82DD5"/>
    <w:rsid w:val="00A838C6"/>
    <w:rsid w:val="00A838F4"/>
    <w:rsid w:val="00A8553A"/>
    <w:rsid w:val="00A8668B"/>
    <w:rsid w:val="00A87CF5"/>
    <w:rsid w:val="00A87DD3"/>
    <w:rsid w:val="00A90A23"/>
    <w:rsid w:val="00A9131F"/>
    <w:rsid w:val="00A9295D"/>
    <w:rsid w:val="00A93AED"/>
    <w:rsid w:val="00A95E1E"/>
    <w:rsid w:val="00AA17BC"/>
    <w:rsid w:val="00AA2472"/>
    <w:rsid w:val="00AA609B"/>
    <w:rsid w:val="00AA6391"/>
    <w:rsid w:val="00AA7EAB"/>
    <w:rsid w:val="00AB2923"/>
    <w:rsid w:val="00AB30EE"/>
    <w:rsid w:val="00AC09DB"/>
    <w:rsid w:val="00AC2416"/>
    <w:rsid w:val="00AD0A27"/>
    <w:rsid w:val="00AD2DBE"/>
    <w:rsid w:val="00AD3415"/>
    <w:rsid w:val="00AD5FD8"/>
    <w:rsid w:val="00AE1319"/>
    <w:rsid w:val="00AE34BB"/>
    <w:rsid w:val="00AE34C9"/>
    <w:rsid w:val="00AE4859"/>
    <w:rsid w:val="00AE488D"/>
    <w:rsid w:val="00AE565C"/>
    <w:rsid w:val="00AE595E"/>
    <w:rsid w:val="00AF262F"/>
    <w:rsid w:val="00AF65F3"/>
    <w:rsid w:val="00AF71F5"/>
    <w:rsid w:val="00AF7635"/>
    <w:rsid w:val="00AF7AB8"/>
    <w:rsid w:val="00AF7B69"/>
    <w:rsid w:val="00B00858"/>
    <w:rsid w:val="00B03D82"/>
    <w:rsid w:val="00B044BD"/>
    <w:rsid w:val="00B053D2"/>
    <w:rsid w:val="00B1618B"/>
    <w:rsid w:val="00B174F5"/>
    <w:rsid w:val="00B1792B"/>
    <w:rsid w:val="00B20A1D"/>
    <w:rsid w:val="00B226F2"/>
    <w:rsid w:val="00B22E60"/>
    <w:rsid w:val="00B23FF4"/>
    <w:rsid w:val="00B24A0B"/>
    <w:rsid w:val="00B274DF"/>
    <w:rsid w:val="00B30811"/>
    <w:rsid w:val="00B30CC9"/>
    <w:rsid w:val="00B3317B"/>
    <w:rsid w:val="00B41F7B"/>
    <w:rsid w:val="00B44FA7"/>
    <w:rsid w:val="00B45CBA"/>
    <w:rsid w:val="00B543A4"/>
    <w:rsid w:val="00B56BDF"/>
    <w:rsid w:val="00B60C6D"/>
    <w:rsid w:val="00B62297"/>
    <w:rsid w:val="00B64CD8"/>
    <w:rsid w:val="00B64E25"/>
    <w:rsid w:val="00B6506F"/>
    <w:rsid w:val="00B65812"/>
    <w:rsid w:val="00B65BEF"/>
    <w:rsid w:val="00B67264"/>
    <w:rsid w:val="00B71DE2"/>
    <w:rsid w:val="00B760E7"/>
    <w:rsid w:val="00B77D32"/>
    <w:rsid w:val="00B77E52"/>
    <w:rsid w:val="00B81B4D"/>
    <w:rsid w:val="00B85CD6"/>
    <w:rsid w:val="00B8755B"/>
    <w:rsid w:val="00B87F2C"/>
    <w:rsid w:val="00B90A27"/>
    <w:rsid w:val="00B91D17"/>
    <w:rsid w:val="00B91EF1"/>
    <w:rsid w:val="00B9554D"/>
    <w:rsid w:val="00BA0D69"/>
    <w:rsid w:val="00BA4E00"/>
    <w:rsid w:val="00BA58DA"/>
    <w:rsid w:val="00BB26DE"/>
    <w:rsid w:val="00BB2B9F"/>
    <w:rsid w:val="00BB65BB"/>
    <w:rsid w:val="00BB6CE6"/>
    <w:rsid w:val="00BB7D9E"/>
    <w:rsid w:val="00BC1718"/>
    <w:rsid w:val="00BC2334"/>
    <w:rsid w:val="00BC3E32"/>
    <w:rsid w:val="00BC3F56"/>
    <w:rsid w:val="00BC599A"/>
    <w:rsid w:val="00BC5C63"/>
    <w:rsid w:val="00BD0949"/>
    <w:rsid w:val="00BD133A"/>
    <w:rsid w:val="00BD1DD7"/>
    <w:rsid w:val="00BD2913"/>
    <w:rsid w:val="00BD3CB8"/>
    <w:rsid w:val="00BD44A4"/>
    <w:rsid w:val="00BD4C59"/>
    <w:rsid w:val="00BD4E6F"/>
    <w:rsid w:val="00BD5BFB"/>
    <w:rsid w:val="00BD7795"/>
    <w:rsid w:val="00BE0B4E"/>
    <w:rsid w:val="00BE1389"/>
    <w:rsid w:val="00BE5389"/>
    <w:rsid w:val="00BE5A98"/>
    <w:rsid w:val="00BE66CD"/>
    <w:rsid w:val="00BF0393"/>
    <w:rsid w:val="00BF2B2B"/>
    <w:rsid w:val="00BF32F0"/>
    <w:rsid w:val="00BF377F"/>
    <w:rsid w:val="00BF4DCE"/>
    <w:rsid w:val="00C004CE"/>
    <w:rsid w:val="00C02BA2"/>
    <w:rsid w:val="00C05CE5"/>
    <w:rsid w:val="00C06624"/>
    <w:rsid w:val="00C06A9F"/>
    <w:rsid w:val="00C11138"/>
    <w:rsid w:val="00C12254"/>
    <w:rsid w:val="00C13A7D"/>
    <w:rsid w:val="00C1553B"/>
    <w:rsid w:val="00C208AF"/>
    <w:rsid w:val="00C24124"/>
    <w:rsid w:val="00C25A9D"/>
    <w:rsid w:val="00C267BD"/>
    <w:rsid w:val="00C26D79"/>
    <w:rsid w:val="00C26F21"/>
    <w:rsid w:val="00C27E69"/>
    <w:rsid w:val="00C35FC6"/>
    <w:rsid w:val="00C36708"/>
    <w:rsid w:val="00C42460"/>
    <w:rsid w:val="00C42A35"/>
    <w:rsid w:val="00C50398"/>
    <w:rsid w:val="00C52524"/>
    <w:rsid w:val="00C5591F"/>
    <w:rsid w:val="00C56315"/>
    <w:rsid w:val="00C57D9B"/>
    <w:rsid w:val="00C6171E"/>
    <w:rsid w:val="00C623BD"/>
    <w:rsid w:val="00C624FF"/>
    <w:rsid w:val="00C66BEE"/>
    <w:rsid w:val="00C67AA5"/>
    <w:rsid w:val="00C7015E"/>
    <w:rsid w:val="00C706D4"/>
    <w:rsid w:val="00C70DFD"/>
    <w:rsid w:val="00C724AE"/>
    <w:rsid w:val="00C737B7"/>
    <w:rsid w:val="00C771ED"/>
    <w:rsid w:val="00C8338E"/>
    <w:rsid w:val="00C87A01"/>
    <w:rsid w:val="00C923B3"/>
    <w:rsid w:val="00C97576"/>
    <w:rsid w:val="00CA08B6"/>
    <w:rsid w:val="00CA1428"/>
    <w:rsid w:val="00CA32F6"/>
    <w:rsid w:val="00CA4DAE"/>
    <w:rsid w:val="00CA6F2C"/>
    <w:rsid w:val="00CA7E51"/>
    <w:rsid w:val="00CB07FC"/>
    <w:rsid w:val="00CB2389"/>
    <w:rsid w:val="00CB394A"/>
    <w:rsid w:val="00CB5A41"/>
    <w:rsid w:val="00CB65ED"/>
    <w:rsid w:val="00CC0B56"/>
    <w:rsid w:val="00CC2BEE"/>
    <w:rsid w:val="00CC3230"/>
    <w:rsid w:val="00CD1F42"/>
    <w:rsid w:val="00CD2DAC"/>
    <w:rsid w:val="00CD6884"/>
    <w:rsid w:val="00CD6A13"/>
    <w:rsid w:val="00CD7FC7"/>
    <w:rsid w:val="00CE3739"/>
    <w:rsid w:val="00CE3DC4"/>
    <w:rsid w:val="00CE644D"/>
    <w:rsid w:val="00CF1871"/>
    <w:rsid w:val="00CF27C2"/>
    <w:rsid w:val="00CF35C7"/>
    <w:rsid w:val="00CF4153"/>
    <w:rsid w:val="00CF7AAF"/>
    <w:rsid w:val="00D002E8"/>
    <w:rsid w:val="00D0034F"/>
    <w:rsid w:val="00D01874"/>
    <w:rsid w:val="00D019CE"/>
    <w:rsid w:val="00D02420"/>
    <w:rsid w:val="00D0280C"/>
    <w:rsid w:val="00D044D1"/>
    <w:rsid w:val="00D04C0B"/>
    <w:rsid w:val="00D056CD"/>
    <w:rsid w:val="00D05843"/>
    <w:rsid w:val="00D060F4"/>
    <w:rsid w:val="00D063BC"/>
    <w:rsid w:val="00D076D1"/>
    <w:rsid w:val="00D1133E"/>
    <w:rsid w:val="00D12A54"/>
    <w:rsid w:val="00D12D8D"/>
    <w:rsid w:val="00D17A34"/>
    <w:rsid w:val="00D223ED"/>
    <w:rsid w:val="00D2308C"/>
    <w:rsid w:val="00D25493"/>
    <w:rsid w:val="00D26628"/>
    <w:rsid w:val="00D332B3"/>
    <w:rsid w:val="00D34AD9"/>
    <w:rsid w:val="00D35344"/>
    <w:rsid w:val="00D35931"/>
    <w:rsid w:val="00D403D3"/>
    <w:rsid w:val="00D4064D"/>
    <w:rsid w:val="00D44F69"/>
    <w:rsid w:val="00D456FF"/>
    <w:rsid w:val="00D46AC5"/>
    <w:rsid w:val="00D47E26"/>
    <w:rsid w:val="00D503ED"/>
    <w:rsid w:val="00D534D9"/>
    <w:rsid w:val="00D53D83"/>
    <w:rsid w:val="00D53DAE"/>
    <w:rsid w:val="00D5405E"/>
    <w:rsid w:val="00D55207"/>
    <w:rsid w:val="00D5612F"/>
    <w:rsid w:val="00D56274"/>
    <w:rsid w:val="00D640A3"/>
    <w:rsid w:val="00D72408"/>
    <w:rsid w:val="00D7308F"/>
    <w:rsid w:val="00D8061D"/>
    <w:rsid w:val="00D80654"/>
    <w:rsid w:val="00D80B1C"/>
    <w:rsid w:val="00D81801"/>
    <w:rsid w:val="00D83107"/>
    <w:rsid w:val="00D8363A"/>
    <w:rsid w:val="00D83BB5"/>
    <w:rsid w:val="00D92AE0"/>
    <w:rsid w:val="00D92B45"/>
    <w:rsid w:val="00D9345D"/>
    <w:rsid w:val="00D95419"/>
    <w:rsid w:val="00D95962"/>
    <w:rsid w:val="00D967B5"/>
    <w:rsid w:val="00D97CE3"/>
    <w:rsid w:val="00DA0172"/>
    <w:rsid w:val="00DA2EF6"/>
    <w:rsid w:val="00DA6924"/>
    <w:rsid w:val="00DB1911"/>
    <w:rsid w:val="00DC04E5"/>
    <w:rsid w:val="00DC1A82"/>
    <w:rsid w:val="00DC389B"/>
    <w:rsid w:val="00DC5476"/>
    <w:rsid w:val="00DC7A63"/>
    <w:rsid w:val="00DD0A9F"/>
    <w:rsid w:val="00DD0FCC"/>
    <w:rsid w:val="00DD2AC4"/>
    <w:rsid w:val="00DD7357"/>
    <w:rsid w:val="00DE2F83"/>
    <w:rsid w:val="00DE2FEE"/>
    <w:rsid w:val="00DF085F"/>
    <w:rsid w:val="00DF1467"/>
    <w:rsid w:val="00DF3D04"/>
    <w:rsid w:val="00DF48EC"/>
    <w:rsid w:val="00E00BE9"/>
    <w:rsid w:val="00E00C9F"/>
    <w:rsid w:val="00E02736"/>
    <w:rsid w:val="00E04CE0"/>
    <w:rsid w:val="00E05194"/>
    <w:rsid w:val="00E067F1"/>
    <w:rsid w:val="00E06E3F"/>
    <w:rsid w:val="00E11006"/>
    <w:rsid w:val="00E13A50"/>
    <w:rsid w:val="00E140FA"/>
    <w:rsid w:val="00E15090"/>
    <w:rsid w:val="00E15FE9"/>
    <w:rsid w:val="00E16CB5"/>
    <w:rsid w:val="00E172BB"/>
    <w:rsid w:val="00E22A11"/>
    <w:rsid w:val="00E24E3E"/>
    <w:rsid w:val="00E26305"/>
    <w:rsid w:val="00E27DC9"/>
    <w:rsid w:val="00E31E5C"/>
    <w:rsid w:val="00E33312"/>
    <w:rsid w:val="00E37369"/>
    <w:rsid w:val="00E37686"/>
    <w:rsid w:val="00E44DD2"/>
    <w:rsid w:val="00E4526D"/>
    <w:rsid w:val="00E45A6A"/>
    <w:rsid w:val="00E4668F"/>
    <w:rsid w:val="00E5047B"/>
    <w:rsid w:val="00E50CC3"/>
    <w:rsid w:val="00E520A9"/>
    <w:rsid w:val="00E53E6C"/>
    <w:rsid w:val="00E53FB9"/>
    <w:rsid w:val="00E548F4"/>
    <w:rsid w:val="00E558C3"/>
    <w:rsid w:val="00E55927"/>
    <w:rsid w:val="00E56845"/>
    <w:rsid w:val="00E570C5"/>
    <w:rsid w:val="00E57E9D"/>
    <w:rsid w:val="00E6040E"/>
    <w:rsid w:val="00E60540"/>
    <w:rsid w:val="00E64B4B"/>
    <w:rsid w:val="00E66614"/>
    <w:rsid w:val="00E742E0"/>
    <w:rsid w:val="00E7796F"/>
    <w:rsid w:val="00E8193D"/>
    <w:rsid w:val="00E830D5"/>
    <w:rsid w:val="00E83BB3"/>
    <w:rsid w:val="00E86837"/>
    <w:rsid w:val="00E912A6"/>
    <w:rsid w:val="00E93AD0"/>
    <w:rsid w:val="00E947B5"/>
    <w:rsid w:val="00E94C30"/>
    <w:rsid w:val="00E9538C"/>
    <w:rsid w:val="00E97BB4"/>
    <w:rsid w:val="00E97CD6"/>
    <w:rsid w:val="00EA1482"/>
    <w:rsid w:val="00EA340C"/>
    <w:rsid w:val="00EA4844"/>
    <w:rsid w:val="00EA4D9C"/>
    <w:rsid w:val="00EA5A97"/>
    <w:rsid w:val="00EB1DFB"/>
    <w:rsid w:val="00EB2248"/>
    <w:rsid w:val="00EB34B2"/>
    <w:rsid w:val="00EB4D0B"/>
    <w:rsid w:val="00EB75EE"/>
    <w:rsid w:val="00EC6CD4"/>
    <w:rsid w:val="00ED2E19"/>
    <w:rsid w:val="00ED4026"/>
    <w:rsid w:val="00ED6944"/>
    <w:rsid w:val="00EE1E5B"/>
    <w:rsid w:val="00EE37EE"/>
    <w:rsid w:val="00EE3A09"/>
    <w:rsid w:val="00EE3CC5"/>
    <w:rsid w:val="00EE4C1D"/>
    <w:rsid w:val="00EE4CC5"/>
    <w:rsid w:val="00EE570E"/>
    <w:rsid w:val="00EE65FC"/>
    <w:rsid w:val="00EE6DF7"/>
    <w:rsid w:val="00EF0E5E"/>
    <w:rsid w:val="00EF107C"/>
    <w:rsid w:val="00EF108A"/>
    <w:rsid w:val="00EF3685"/>
    <w:rsid w:val="00EF6222"/>
    <w:rsid w:val="00F024D4"/>
    <w:rsid w:val="00F04350"/>
    <w:rsid w:val="00F05F09"/>
    <w:rsid w:val="00F104B2"/>
    <w:rsid w:val="00F1179D"/>
    <w:rsid w:val="00F133DB"/>
    <w:rsid w:val="00F15235"/>
    <w:rsid w:val="00F159EB"/>
    <w:rsid w:val="00F15E42"/>
    <w:rsid w:val="00F1618B"/>
    <w:rsid w:val="00F162FA"/>
    <w:rsid w:val="00F2166D"/>
    <w:rsid w:val="00F25890"/>
    <w:rsid w:val="00F25BF4"/>
    <w:rsid w:val="00F267DB"/>
    <w:rsid w:val="00F27A5A"/>
    <w:rsid w:val="00F3271A"/>
    <w:rsid w:val="00F342B8"/>
    <w:rsid w:val="00F41231"/>
    <w:rsid w:val="00F46F6F"/>
    <w:rsid w:val="00F47FAE"/>
    <w:rsid w:val="00F552CE"/>
    <w:rsid w:val="00F60608"/>
    <w:rsid w:val="00F62217"/>
    <w:rsid w:val="00F625C4"/>
    <w:rsid w:val="00F66644"/>
    <w:rsid w:val="00F66C43"/>
    <w:rsid w:val="00F7072C"/>
    <w:rsid w:val="00F7191E"/>
    <w:rsid w:val="00F74ACD"/>
    <w:rsid w:val="00F7544B"/>
    <w:rsid w:val="00F77D68"/>
    <w:rsid w:val="00F81FB0"/>
    <w:rsid w:val="00F86512"/>
    <w:rsid w:val="00F91010"/>
    <w:rsid w:val="00FA0AC3"/>
    <w:rsid w:val="00FB17A9"/>
    <w:rsid w:val="00FB4D9D"/>
    <w:rsid w:val="00FB527C"/>
    <w:rsid w:val="00FB6F75"/>
    <w:rsid w:val="00FC08AC"/>
    <w:rsid w:val="00FC0EB3"/>
    <w:rsid w:val="00FC5BB0"/>
    <w:rsid w:val="00FD1A97"/>
    <w:rsid w:val="00FD675E"/>
    <w:rsid w:val="00FD6D10"/>
    <w:rsid w:val="00FD7854"/>
    <w:rsid w:val="00FE025B"/>
    <w:rsid w:val="00FE0383"/>
    <w:rsid w:val="00FE165A"/>
    <w:rsid w:val="00FE5674"/>
    <w:rsid w:val="00FE7F93"/>
    <w:rsid w:val="00FF2D39"/>
    <w:rsid w:val="00FF454A"/>
    <w:rsid w:val="00FF6E70"/>
    <w:rsid w:val="00FF793D"/>
    <w:rsid w:val="028878AB"/>
    <w:rsid w:val="03CA39E7"/>
    <w:rsid w:val="04A6032E"/>
    <w:rsid w:val="066373A3"/>
    <w:rsid w:val="08B16D7B"/>
    <w:rsid w:val="09BF5175"/>
    <w:rsid w:val="0BF90BDB"/>
    <w:rsid w:val="0D626D3B"/>
    <w:rsid w:val="0FC034C1"/>
    <w:rsid w:val="0FC135A0"/>
    <w:rsid w:val="108F674F"/>
    <w:rsid w:val="1655034D"/>
    <w:rsid w:val="174A7FE9"/>
    <w:rsid w:val="17D50C27"/>
    <w:rsid w:val="19210095"/>
    <w:rsid w:val="1BB648F4"/>
    <w:rsid w:val="1BB92DDF"/>
    <w:rsid w:val="1C0821A1"/>
    <w:rsid w:val="1C473112"/>
    <w:rsid w:val="1CAA792F"/>
    <w:rsid w:val="1D5112A5"/>
    <w:rsid w:val="1EC24302"/>
    <w:rsid w:val="1F562260"/>
    <w:rsid w:val="214C4B6A"/>
    <w:rsid w:val="21DA3120"/>
    <w:rsid w:val="235F4F55"/>
    <w:rsid w:val="23957AD1"/>
    <w:rsid w:val="25786E38"/>
    <w:rsid w:val="25B22D44"/>
    <w:rsid w:val="262F0E9B"/>
    <w:rsid w:val="26763770"/>
    <w:rsid w:val="27194363"/>
    <w:rsid w:val="2BBB081B"/>
    <w:rsid w:val="2C3A7805"/>
    <w:rsid w:val="2D5565DF"/>
    <w:rsid w:val="2DA10E76"/>
    <w:rsid w:val="308D4F8F"/>
    <w:rsid w:val="317848A7"/>
    <w:rsid w:val="33E5735F"/>
    <w:rsid w:val="347342AB"/>
    <w:rsid w:val="347F6383"/>
    <w:rsid w:val="34851F83"/>
    <w:rsid w:val="3561452B"/>
    <w:rsid w:val="35644A95"/>
    <w:rsid w:val="36213FE5"/>
    <w:rsid w:val="364A5214"/>
    <w:rsid w:val="388A4099"/>
    <w:rsid w:val="38B827BC"/>
    <w:rsid w:val="38D24E28"/>
    <w:rsid w:val="39757612"/>
    <w:rsid w:val="3BD260DE"/>
    <w:rsid w:val="3C9A4019"/>
    <w:rsid w:val="3DFD61EE"/>
    <w:rsid w:val="3EFC41C5"/>
    <w:rsid w:val="3FCA7BAE"/>
    <w:rsid w:val="41875E75"/>
    <w:rsid w:val="419E2989"/>
    <w:rsid w:val="41EF19DC"/>
    <w:rsid w:val="44351CC9"/>
    <w:rsid w:val="465A516C"/>
    <w:rsid w:val="47BC11F6"/>
    <w:rsid w:val="486F2D3E"/>
    <w:rsid w:val="4D0638F2"/>
    <w:rsid w:val="4E145805"/>
    <w:rsid w:val="4E426774"/>
    <w:rsid w:val="4F08118C"/>
    <w:rsid w:val="4F575421"/>
    <w:rsid w:val="51022A6F"/>
    <w:rsid w:val="512412F8"/>
    <w:rsid w:val="5225222A"/>
    <w:rsid w:val="5262568F"/>
    <w:rsid w:val="544B3EC5"/>
    <w:rsid w:val="54F05CB3"/>
    <w:rsid w:val="54F8211E"/>
    <w:rsid w:val="579C18D5"/>
    <w:rsid w:val="5A736FC2"/>
    <w:rsid w:val="5ACE0F93"/>
    <w:rsid w:val="5AD82890"/>
    <w:rsid w:val="5B017DF2"/>
    <w:rsid w:val="5C6F7CF0"/>
    <w:rsid w:val="5C746309"/>
    <w:rsid w:val="5D577585"/>
    <w:rsid w:val="5E45069D"/>
    <w:rsid w:val="62A22B1D"/>
    <w:rsid w:val="64A83005"/>
    <w:rsid w:val="664178D0"/>
    <w:rsid w:val="66843D70"/>
    <w:rsid w:val="66886A01"/>
    <w:rsid w:val="66AB5532"/>
    <w:rsid w:val="67762506"/>
    <w:rsid w:val="67B968FF"/>
    <w:rsid w:val="6C92320A"/>
    <w:rsid w:val="6D321131"/>
    <w:rsid w:val="705A7CD8"/>
    <w:rsid w:val="7133069A"/>
    <w:rsid w:val="71FF7C42"/>
    <w:rsid w:val="77193E2A"/>
    <w:rsid w:val="779F4356"/>
    <w:rsid w:val="78206B3F"/>
    <w:rsid w:val="78495E08"/>
    <w:rsid w:val="788C62D8"/>
    <w:rsid w:val="789B2759"/>
    <w:rsid w:val="796C5D0E"/>
    <w:rsid w:val="79ED3C3C"/>
    <w:rsid w:val="7A374C42"/>
    <w:rsid w:val="7BE72EBD"/>
    <w:rsid w:val="7C9962A4"/>
    <w:rsid w:val="7FAF3C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4F4B40"/>
  <w15:docId w15:val="{3BCFAF13-D46F-4C0B-8106-55FB0BA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 w:val="left" w:pos="851"/>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autoRedefine/>
    <w:qFormat/>
    <w:pPr>
      <w:keepNext/>
      <w:numPr>
        <w:ilvl w:val="2"/>
        <w:numId w:val="1"/>
      </w:numPr>
      <w:spacing w:before="120" w:after="120"/>
      <w:outlineLvl w:val="2"/>
    </w:pPr>
    <w:rPr>
      <w:szCs w:val="20"/>
      <w:lang w:eastAsia="de-DE"/>
    </w:rPr>
  </w:style>
  <w:style w:type="paragraph" w:styleId="Heading4">
    <w:name w:val="heading 4"/>
    <w:basedOn w:val="Normal"/>
    <w:next w:val="BodyTex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BodyTextIndent">
    <w:name w:val="Body Text Indent"/>
    <w:basedOn w:val="Normal"/>
    <w:link w:val="BodyTextIndentChar"/>
    <w:autoRedefine/>
    <w:qFormat/>
    <w:pPr>
      <w:spacing w:after="120"/>
      <w:ind w:left="567"/>
    </w:p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Date">
    <w:name w:val="Date"/>
    <w:basedOn w:val="Normal"/>
    <w:next w:val="Normal"/>
    <w:link w:val="DateChar"/>
    <w:autoRedefine/>
    <w:uiPriority w:val="99"/>
    <w:semiHidden/>
    <w:unhideWhenUsed/>
    <w:qFormat/>
    <w:pPr>
      <w:ind w:leftChars="2500" w:left="100"/>
    </w:p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ind w:firstLineChars="50" w:firstLine="80"/>
      <w:jc w:val="center"/>
    </w:pPr>
    <w:rPr>
      <w:sz w:val="16"/>
      <w:szCs w:val="16"/>
      <w:lang w:eastAsia="zh-CN"/>
    </w:rPr>
  </w:style>
  <w:style w:type="paragraph" w:styleId="Header">
    <w:name w:val="header"/>
    <w:basedOn w:val="Normal"/>
    <w:link w:val="HeaderChar"/>
    <w:autoRedefine/>
    <w:qFormat/>
    <w:pPr>
      <w:tabs>
        <w:tab w:val="center" w:pos="4820"/>
        <w:tab w:val="right" w:pos="5954"/>
      </w:tabs>
      <w:spacing w:after="240"/>
      <w:jc w:val="right"/>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HTMLPreformatted">
    <w:name w:val="HTML Preformatted"/>
    <w:basedOn w:val="Normal"/>
    <w:link w:val="HTMLPreformattedChar"/>
    <w:uiPriority w:val="99"/>
    <w:semiHidden/>
    <w:unhideWhenUsed/>
    <w:qFormat/>
    <w:rPr>
      <w:rFonts w:ascii="Courier New" w:hAnsi="Courier New" w:cs="Courier New"/>
      <w:sz w:val="20"/>
      <w:szCs w:val="20"/>
    </w:rPr>
  </w:style>
  <w:style w:type="paragraph" w:styleId="NormalWeb">
    <w:name w:val="Normal (Web)"/>
    <w:basedOn w:val="Normal"/>
    <w:autoRedefine/>
    <w:unhideWhenUsed/>
    <w:qFormat/>
    <w:rPr>
      <w:sz w:val="24"/>
    </w:rPr>
  </w:style>
  <w:style w:type="paragraph" w:styleId="Title">
    <w:name w:val="Title"/>
    <w:basedOn w:val="Normal"/>
    <w:link w:val="TitleChar"/>
    <w:autoRedefine/>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qFormat/>
    <w:rPr>
      <w:b/>
      <w:bCs/>
    </w:rPr>
  </w:style>
  <w:style w:type="character" w:styleId="PageNumber">
    <w:name w:val="page number"/>
    <w:basedOn w:val="DefaultParagraphFont"/>
    <w:autoRedefine/>
    <w:qFormat/>
  </w:style>
  <w:style w:type="character" w:styleId="FollowedHyperlink">
    <w:name w:val="FollowedHyperlink"/>
    <w:basedOn w:val="DefaultParagraphFont"/>
    <w:uiPriority w:val="99"/>
    <w:semiHidden/>
    <w:unhideWhenUsed/>
    <w:qFormat/>
    <w:rPr>
      <w:color w:val="2962FF"/>
      <w:u w:val="none"/>
    </w:rPr>
  </w:style>
  <w:style w:type="character" w:styleId="Hyperlink">
    <w:name w:val="Hyperlink"/>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qFormat/>
    <w:rPr>
      <w:rFonts w:ascii="Arial" w:hAnsi="Arial"/>
      <w:sz w:val="16"/>
    </w:rPr>
  </w:style>
  <w:style w:type="character" w:customStyle="1" w:styleId="Heading1Char">
    <w:name w:val="Heading 1 Char"/>
    <w:link w:val="Heading1"/>
    <w:autoRedefine/>
    <w:qFormat/>
    <w:rPr>
      <w:rFonts w:ascii="Calibri" w:hAnsi="Calibri" w:cs="Calibri"/>
      <w:b/>
      <w:caps/>
      <w:color w:val="0070C0"/>
      <w:kern w:val="28"/>
      <w:sz w:val="24"/>
      <w:szCs w:val="22"/>
      <w:lang w:val="en-GB" w:eastAsia="de-DE"/>
    </w:rPr>
  </w:style>
  <w:style w:type="character" w:customStyle="1" w:styleId="Heading2Char">
    <w:name w:val="Heading 2 Char"/>
    <w:link w:val="Heading2"/>
    <w:qFormat/>
    <w:rPr>
      <w:rFonts w:ascii="Calibri" w:hAnsi="Calibri" w:cs="Calibri"/>
      <w:b/>
      <w:color w:val="0070C0"/>
      <w:sz w:val="24"/>
      <w:szCs w:val="24"/>
      <w:lang w:val="en-GB" w:eastAsia="en-GB"/>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Calibri"/>
      <w:sz w:val="16"/>
      <w:szCs w:val="16"/>
      <w:lang w:val="en-GB"/>
    </w:rPr>
  </w:style>
  <w:style w:type="character" w:customStyle="1" w:styleId="HeaderChar">
    <w:name w:val="Header Char"/>
    <w:link w:val="Header"/>
    <w:autoRedefine/>
    <w:qFormat/>
    <w:rPr>
      <w:rFonts w:ascii="Arial" w:hAnsi="Arial" w:cs="Calibri"/>
      <w:sz w:val="22"/>
      <w:szCs w:val="22"/>
      <w:lang w:val="en-GB" w:eastAsia="en-GB"/>
    </w:rPr>
  </w:style>
  <w:style w:type="character" w:customStyle="1" w:styleId="Heading3Char">
    <w:name w:val="Heading 3 Char"/>
    <w:link w:val="Heading3"/>
    <w:autoRedefine/>
    <w:qFormat/>
    <w:rPr>
      <w:rFonts w:ascii="Arial" w:hAnsi="Arial" w:cs="Calibri"/>
      <w:sz w:val="22"/>
      <w:lang w:val="en-GB" w:eastAsia="de-DE"/>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autoRedefine/>
    <w:qFormat/>
    <w:rPr>
      <w:rFonts w:ascii="Arial" w:eastAsia="Times New Roman" w:hAnsi="Arial"/>
      <w:sz w:val="22"/>
      <w:lang w:val="de-DE" w:eastAsia="de-DE"/>
    </w:rPr>
  </w:style>
  <w:style w:type="character" w:customStyle="1" w:styleId="Heading6Char">
    <w:name w:val="Heading 6 Char"/>
    <w:link w:val="Heading6"/>
    <w:autoRedefine/>
    <w:qFormat/>
    <w:rPr>
      <w:rFonts w:ascii="Arial" w:hAnsi="Arial" w:cs="Calibri"/>
      <w:sz w:val="22"/>
      <w:lang w:val="de-DE" w:eastAsia="de-DE"/>
    </w:rPr>
  </w:style>
  <w:style w:type="character" w:customStyle="1" w:styleId="Heading7Char">
    <w:name w:val="Heading 7 Char"/>
    <w:link w:val="Heading7"/>
    <w:autoRedefine/>
    <w:qFormat/>
    <w:rPr>
      <w:rFonts w:ascii="Arial" w:hAnsi="Arial" w:cs="Calibri"/>
      <w:sz w:val="22"/>
      <w:lang w:val="de-DE" w:eastAsia="de-DE"/>
    </w:rPr>
  </w:style>
  <w:style w:type="character" w:customStyle="1" w:styleId="Heading8Char">
    <w:name w:val="Heading 8 Char"/>
    <w:link w:val="Heading8"/>
    <w:autoRedefine/>
    <w:qFormat/>
    <w:rPr>
      <w:rFonts w:ascii="Arial" w:hAnsi="Arial" w:cs="Calibri"/>
      <w:sz w:val="22"/>
      <w:lang w:val="de-DE" w:eastAsia="de-DE"/>
    </w:rPr>
  </w:style>
  <w:style w:type="character" w:customStyle="1" w:styleId="Heading9Char">
    <w:name w:val="Heading 9 Char"/>
    <w:link w:val="Heading9"/>
    <w:autoRedefine/>
    <w:qFormat/>
    <w:rPr>
      <w:rFonts w:ascii="Arial" w:hAnsi="Arial" w:cs="Calibri"/>
      <w:sz w:val="22"/>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Arial" w:hAnsi="Arial" w:cs="Arial"/>
      <w:b/>
      <w:bCs/>
      <w:kern w:val="28"/>
      <w:sz w:val="32"/>
      <w:szCs w:val="32"/>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tabs>
        <w:tab w:val="left" w:pos="567"/>
      </w:tabs>
      <w:spacing w:after="120"/>
    </w:pPr>
    <w:rPr>
      <w:szCs w:val="20"/>
    </w:rPr>
  </w:style>
  <w:style w:type="paragraph" w:customStyle="1" w:styleId="AppendixHeading1">
    <w:name w:val="Appendix Heading 1"/>
    <w:basedOn w:val="Normal"/>
    <w:next w:val="BodyText"/>
    <w:autoRedefine/>
    <w:qFormat/>
    <w:pPr>
      <w:numPr>
        <w:numId w:val="12"/>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autoRedefine/>
    <w:qFormat/>
    <w:pPr>
      <w:numPr>
        <w:ilvl w:val="3"/>
        <w:numId w:val="12"/>
      </w:numPr>
      <w:spacing w:before="120" w:after="120"/>
    </w:pPr>
    <w:rPr>
      <w:rFonts w:cs="Arial"/>
    </w:rPr>
  </w:style>
  <w:style w:type="paragraph" w:customStyle="1" w:styleId="equation">
    <w:name w:val="equation"/>
    <w:basedOn w:val="Normal"/>
    <w:next w:val="BodyText"/>
    <w:autoRedefine/>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uiPriority w:val="34"/>
    <w:qFormat/>
    <w:pPr>
      <w:numPr>
        <w:numId w:val="15"/>
      </w:numPr>
      <w:spacing w:after="20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 w:type="paragraph" w:customStyle="1" w:styleId="Default">
    <w:name w:val="Default"/>
    <w:autoRedefine/>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qFormat/>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qFormat/>
  </w:style>
  <w:style w:type="character" w:customStyle="1" w:styleId="fontstyle01">
    <w:name w:val="fontstyle01"/>
    <w:basedOn w:val="DefaultParagraphFont"/>
    <w:autoRedefine/>
    <w:qFormat/>
    <w:rPr>
      <w:rFonts w:ascii="FEFACB499A6" w:hAnsi="FEFACB499A6" w:hint="default"/>
      <w:color w:val="242021"/>
      <w:sz w:val="26"/>
      <w:szCs w:val="26"/>
    </w:rPr>
  </w:style>
  <w:style w:type="character" w:customStyle="1" w:styleId="viiyi">
    <w:name w:val="viiyi"/>
    <w:basedOn w:val="DefaultParagraphFont"/>
    <w:autoRedefine/>
    <w:qFormat/>
  </w:style>
  <w:style w:type="character" w:customStyle="1" w:styleId="jlqj4b">
    <w:name w:val="jlqj4b"/>
    <w:basedOn w:val="DefaultParagraphFont"/>
    <w:autoRedefine/>
    <w:qFormat/>
  </w:style>
  <w:style w:type="character" w:customStyle="1" w:styleId="NormalCharacter">
    <w:name w:val="NormalCharacter"/>
    <w:autoRedefine/>
    <w:semiHidden/>
    <w:qFormat/>
  </w:style>
  <w:style w:type="character" w:customStyle="1" w:styleId="q4iawc">
    <w:name w:val="q4iawc"/>
    <w:basedOn w:val="DefaultParagraphFont"/>
    <w:autoRedefine/>
    <w:qFormat/>
  </w:style>
  <w:style w:type="character" w:customStyle="1" w:styleId="gbd2">
    <w:name w:val="gb_d2"/>
    <w:basedOn w:val="DefaultParagraphFont"/>
    <w:qFormat/>
    <w:rPr>
      <w:u w:val="none"/>
    </w:rPr>
  </w:style>
  <w:style w:type="character" w:customStyle="1" w:styleId="gbd3">
    <w:name w:val="gb_d3"/>
    <w:basedOn w:val="DefaultParagraphFont"/>
    <w:qFormat/>
    <w:rPr>
      <w:color w:val="FFFFFF"/>
    </w:rPr>
  </w:style>
  <w:style w:type="character" w:customStyle="1" w:styleId="DateChar">
    <w:name w:val="Date Char"/>
    <w:basedOn w:val="DefaultParagraphFont"/>
    <w:link w:val="Date"/>
    <w:autoRedefine/>
    <w:uiPriority w:val="99"/>
    <w:semiHidden/>
    <w:rPr>
      <w:rFonts w:ascii="Arial" w:hAnsi="Arial" w:cs="Calibri"/>
      <w:sz w:val="22"/>
      <w:szCs w:val="22"/>
      <w:lang w:val="en-GB" w:eastAsia="en-GB"/>
    </w:rPr>
  </w:style>
  <w:style w:type="paragraph" w:customStyle="1" w:styleId="AppendixHead2">
    <w:name w:val="Appendix Head 2"/>
    <w:basedOn w:val="AppendixtitleHead1"/>
    <w:next w:val="Normal"/>
    <w:qFormat/>
    <w:pPr>
      <w:numPr>
        <w:ilvl w:val="1"/>
      </w:numPr>
      <w:spacing w:after="120"/>
    </w:pPr>
    <w:rPr>
      <w:rFonts w:cs="Arial"/>
      <w:sz w:val="24"/>
      <w:lang w:eastAsia="en-GB"/>
    </w:rPr>
  </w:style>
  <w:style w:type="paragraph" w:customStyle="1" w:styleId="AppendixtitleHead1">
    <w:name w:val="Appendix title (Head 1)"/>
    <w:next w:val="BodyText"/>
    <w:qFormat/>
    <w:pPr>
      <w:numPr>
        <w:numId w:val="16"/>
      </w:numPr>
      <w:spacing w:before="120" w:after="240"/>
    </w:pPr>
    <w:rPr>
      <w:rFonts w:asciiTheme="majorHAnsi" w:eastAsia="Calibri" w:hAnsiTheme="majorHAnsi" w:cs="Calibri"/>
      <w:b/>
      <w:bCs/>
      <w:caps/>
      <w:color w:val="00558C"/>
      <w:sz w:val="28"/>
      <w:szCs w:val="28"/>
      <w:lang w:eastAsia="en-US"/>
    </w:rPr>
  </w:style>
  <w:style w:type="paragraph" w:customStyle="1" w:styleId="AppendixHead3">
    <w:name w:val="Appendix Head 3"/>
    <w:basedOn w:val="Normal"/>
    <w:next w:val="Normal"/>
    <w:qFormat/>
    <w:pPr>
      <w:numPr>
        <w:ilvl w:val="2"/>
        <w:numId w:val="16"/>
      </w:numPr>
      <w:spacing w:before="120" w:after="120"/>
    </w:pPr>
    <w:rPr>
      <w:rFonts w:asciiTheme="minorHAnsi" w:eastAsia="Calibri" w:hAnsiTheme="minorHAnsi" w:cs="Arial"/>
      <w:b/>
      <w:smallCaps/>
      <w:color w:val="00558C"/>
      <w:sz w:val="24"/>
    </w:rPr>
  </w:style>
  <w:style w:type="paragraph" w:customStyle="1" w:styleId="AppendixHead4">
    <w:name w:val="Appendix Head 4"/>
    <w:basedOn w:val="AppendixHead3"/>
    <w:next w:val="BodyText"/>
    <w:qFormat/>
    <w:pPr>
      <w:numPr>
        <w:ilvl w:val="3"/>
      </w:numPr>
    </w:pPr>
    <w:rPr>
      <w:smallCaps w:val="0"/>
      <w:sz w:val="22"/>
    </w:rPr>
  </w:style>
  <w:style w:type="paragraph" w:customStyle="1" w:styleId="AppendixHead5">
    <w:name w:val="Appendix Head 5"/>
    <w:basedOn w:val="AppendixHead4"/>
    <w:next w:val="BodyText"/>
    <w:qFormat/>
    <w:pPr>
      <w:numPr>
        <w:ilvl w:val="4"/>
      </w:numPr>
      <w:ind w:left="1701" w:hanging="1701"/>
    </w:pPr>
    <w:rPr>
      <w:b w:val="0"/>
    </w:rPr>
  </w:style>
  <w:style w:type="paragraph" w:customStyle="1" w:styleId="1">
    <w:name w:val="修订1"/>
    <w:hidden/>
    <w:uiPriority w:val="99"/>
    <w:semiHidden/>
    <w:rPr>
      <w:rFonts w:ascii="Arial" w:hAnsi="Arial" w:cs="Calibri"/>
      <w:sz w:val="22"/>
      <w:szCs w:val="22"/>
    </w:rPr>
  </w:style>
  <w:style w:type="character" w:customStyle="1" w:styleId="HTMLPreformattedChar">
    <w:name w:val="HTML Preformatted Char"/>
    <w:basedOn w:val="DefaultParagraphFont"/>
    <w:link w:val="HTMLPreformatted"/>
    <w:uiPriority w:val="99"/>
    <w:semiHidden/>
    <w:qFormat/>
    <w:rPr>
      <w:rFonts w:ascii="Courier New" w:hAnsi="Courier New" w:cs="Courier New"/>
      <w:lang w:val="en-GB" w:eastAsia="en-GB"/>
    </w:rPr>
  </w:style>
  <w:style w:type="paragraph" w:customStyle="1" w:styleId="Revision1">
    <w:name w:val="Revision1"/>
    <w:hidden/>
    <w:uiPriority w:val="99"/>
    <w:unhideWhenUsed/>
    <w:qFormat/>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hpExts>
    <customShpInfo spid="_x0000_s3074"/>
    <customShpInfo spid="_x0000_s3075"/>
    <customShpInfo spid="_x0000_s3073"/>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6540B-AC7C-43D1-B75C-F69B1DF5CD5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A8F843CB-F4BF-40D6-9DCE-51545A4A2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6AAFFBC5-B2B1-4907-BCE6-8B945261F915}">
  <ds:schemaRefs>
    <ds:schemaRef ds:uri="http://schemas.microsoft.com/sharepoint/v3/contenttype/forms"/>
  </ds:schemaRefs>
</ds:datastoreItem>
</file>

<file path=customXml/itemProps5.xml><?xml version="1.0" encoding="utf-8"?>
<ds:datastoreItem xmlns:ds="http://schemas.openxmlformats.org/officeDocument/2006/customXml" ds:itemID="{F2A16EB4-2F59-478E-8565-17EA83F01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5377</Characters>
  <Application>Microsoft Office Word</Application>
  <DocSecurity>0</DocSecurity>
  <Lines>44</Lines>
  <Paragraphs>12</Paragraphs>
  <ScaleCrop>false</ScaleCrop>
  <Company>微软中国</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7</cp:revision>
  <cp:lastPrinted>2020-12-18T07:05:00Z</cp:lastPrinted>
  <dcterms:created xsi:type="dcterms:W3CDTF">2025-08-22T06:05:00Z</dcterms:created>
  <dcterms:modified xsi:type="dcterms:W3CDTF">2025-08-24T13:58:00Z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ContentTypeId">
    <vt:lpwstr>0x010100FB4C6AB7F4ADAA4ABC48D93214FE8FD2</vt:lpwstr>
  </property>
  <property fmtid="{D5CDD505-2E9C-101B-9397-08002B2CF9AE}" pid="4" name="ICV">
    <vt:lpwstr>83BFE3F91B874CDE85A5F06340525F3E</vt:lpwstr>
  </property>
  <property fmtid="{D5CDD505-2E9C-101B-9397-08002B2CF9AE}" pid="5" name="KSOTemplateDocerSaveRecord">
    <vt:lpwstr>eyJoZGlkIjoiYWJmNTAxYTA0NTllZTU0OWY5NWY0MWNlMzBjNGU2OTYiLCJ1c2VySWQiOiIzMjEyNTIwMzMifQ==</vt:lpwstr>
  </property>
  <property fmtid="{D5CDD505-2E9C-101B-9397-08002B2CF9AE}" pid="6" name="MediaServiceImageTags">
    <vt:lpwstr/>
  </property>
</Properties>
</file>